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36D8" w14:textId="77777777" w:rsidR="00C00388" w:rsidRPr="00431ADA" w:rsidRDefault="00C00388" w:rsidP="00431ADA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6B09AF17" w14:textId="77777777" w:rsidR="00FB43C6" w:rsidRPr="00431ADA" w:rsidRDefault="00FB43C6" w:rsidP="00431ADA">
      <w:pPr>
        <w:spacing w:after="0" w:line="240" w:lineRule="auto"/>
        <w:ind w:left="360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14:paraId="6D8EF1B3" w14:textId="1FDB530B" w:rsidR="00FB43C6" w:rsidRPr="00431ADA" w:rsidRDefault="00FB43C6" w:rsidP="00431ADA">
      <w:pPr>
        <w:spacing w:after="0" w:line="240" w:lineRule="auto"/>
        <w:ind w:left="360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431ADA">
        <w:rPr>
          <w:rFonts w:ascii="Sylfaen" w:hAnsi="Sylfaen" w:cs="Sylfaen"/>
          <w:b/>
          <w:bCs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3C0D9FF1" wp14:editId="71BDBD4F">
            <wp:simplePos x="0" y="0"/>
            <wp:positionH relativeFrom="margin">
              <wp:posOffset>0</wp:posOffset>
            </wp:positionH>
            <wp:positionV relativeFrom="margin">
              <wp:posOffset>810260</wp:posOffset>
            </wp:positionV>
            <wp:extent cx="7467600" cy="7073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7C6B47" w14:textId="77777777" w:rsidR="00920E56" w:rsidRPr="00431ADA" w:rsidRDefault="003B5FF9" w:rsidP="00431ADA">
      <w:pPr>
        <w:spacing w:after="0" w:line="240" w:lineRule="auto"/>
        <w:ind w:left="360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431ADA">
        <w:rPr>
          <w:rFonts w:ascii="Sylfaen" w:hAnsi="Sylfaen" w:cs="Sylfaen"/>
          <w:b/>
          <w:bCs/>
          <w:noProof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61"/>
        <w:gridCol w:w="6789"/>
      </w:tblGrid>
      <w:tr w:rsidR="00FD430A" w:rsidRPr="00431ADA" w14:paraId="26EDDB81" w14:textId="77777777" w:rsidTr="00657560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69ACE0" w14:textId="77777777" w:rsidR="00761D47" w:rsidRPr="00431ADA" w:rsidRDefault="00761D47" w:rsidP="00431AD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დასახელება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119D42F" w14:textId="77777777" w:rsidR="00761D47" w:rsidRPr="00431ADA" w:rsidRDefault="009277F4" w:rsidP="00431ADA">
            <w:pPr>
              <w:spacing w:after="0" w:line="240" w:lineRule="auto"/>
              <w:ind w:right="34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დამატებითი ( minor)- პროგრამა - ქიმია </w:t>
            </w:r>
          </w:p>
        </w:tc>
      </w:tr>
      <w:tr w:rsidR="00FD430A" w:rsidRPr="00431ADA" w14:paraId="3833A563" w14:textId="77777777" w:rsidTr="00657560">
        <w:trPr>
          <w:trHeight w:val="507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0AA1D5" w14:textId="77777777" w:rsidR="006858BC" w:rsidRPr="00431ADA" w:rsidRDefault="00761D47" w:rsidP="00431AD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მისანიჭებელი</w:t>
            </w:r>
            <w:r w:rsidR="00903CC0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აკადემიური</w:t>
            </w:r>
            <w:r w:rsidR="00903CC0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ხარისხი</w:t>
            </w:r>
            <w:r w:rsidRPr="00431AD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</w:p>
          <w:p w14:paraId="48EF242C" w14:textId="77777777" w:rsidR="00761D47" w:rsidRPr="00431ADA" w:rsidRDefault="00761D47" w:rsidP="00431AD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კვალიფიკაცია</w:t>
            </w:r>
            <w:r w:rsidR="00FD430A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10F04B1" w14:textId="77777777" w:rsidR="00761D47" w:rsidRPr="00431ADA" w:rsidRDefault="00761D47" w:rsidP="00431ADA">
            <w:pPr>
              <w:spacing w:after="0" w:line="240" w:lineRule="auto"/>
              <w:ind w:left="3402" w:hanging="3402"/>
              <w:rPr>
                <w:rFonts w:ascii="Sylfaen" w:hAnsi="Sylfaen"/>
                <w:noProof/>
                <w:color w:val="FF0000"/>
                <w:sz w:val="20"/>
                <w:szCs w:val="20"/>
                <w:lang w:val="ka-GE"/>
              </w:rPr>
            </w:pPr>
          </w:p>
        </w:tc>
      </w:tr>
      <w:tr w:rsidR="00FD430A" w:rsidRPr="00431ADA" w14:paraId="6E4CCDFD" w14:textId="77777777" w:rsidTr="00657560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5C8B74" w14:textId="77777777" w:rsidR="00761D47" w:rsidRPr="00431ADA" w:rsidRDefault="00761D47" w:rsidP="00431ADA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ფაკულტეტის დასახელება</w:t>
            </w:r>
            <w:r w:rsidR="00FD430A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95EA0D4" w14:textId="77777777" w:rsidR="00761D47" w:rsidRPr="00431ADA" w:rsidRDefault="00C87E9B" w:rsidP="00431ADA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FD430A" w:rsidRPr="00431ADA" w14:paraId="19902D08" w14:textId="77777777" w:rsidTr="00657560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874F1C" w14:textId="77777777" w:rsidR="00761D47" w:rsidRPr="00431ADA" w:rsidRDefault="00761D47" w:rsidP="00431ADA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14:paraId="48F2A3BD" w14:textId="77777777" w:rsidR="00761D47" w:rsidRPr="00431ADA" w:rsidRDefault="00761D47" w:rsidP="00431ADA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კოორდინატორი</w:t>
            </w:r>
            <w:r w:rsidR="00FD430A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F8056D7" w14:textId="77777777" w:rsidR="00761D47" w:rsidRPr="00431ADA" w:rsidRDefault="00400424" w:rsidP="00431ADA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მანუჩარ  ჩიქოვანი - ქიმიის მეცნიერებათა  აკადემიური დოქტორი, ასოცირებული პროფესორი   </w:t>
            </w:r>
          </w:p>
        </w:tc>
      </w:tr>
      <w:tr w:rsidR="00FD430A" w:rsidRPr="00431ADA" w14:paraId="4FFFDCD6" w14:textId="77777777" w:rsidTr="00657560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B1C44DA" w14:textId="77777777" w:rsidR="00761D47" w:rsidRPr="00431ADA" w:rsidRDefault="00761D47" w:rsidP="00431AD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903CC0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ხანგრძლივობა</w:t>
            </w:r>
            <w:r w:rsidRPr="00431AD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მოცულობა</w:t>
            </w:r>
            <w:r w:rsidRPr="00431AD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სემესტრი</w:t>
            </w:r>
            <w:r w:rsidRPr="00431AD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კრედიტების</w:t>
            </w:r>
            <w:r w:rsidR="00903CC0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რაოდენობა</w:t>
            </w:r>
            <w:r w:rsidRPr="00431AD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  <w:r w:rsidR="00FD430A" w:rsidRPr="00431AD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right w:val="single" w:sz="18" w:space="0" w:color="auto"/>
            </w:tcBorders>
          </w:tcPr>
          <w:p w14:paraId="168A3AD6" w14:textId="7007F648" w:rsidR="00761D47" w:rsidRPr="00431ADA" w:rsidRDefault="00761D47" w:rsidP="00431ADA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60 </w:t>
            </w:r>
            <w:r w:rsidRPr="00431AD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კრედიტი</w:t>
            </w:r>
          </w:p>
        </w:tc>
      </w:tr>
      <w:tr w:rsidR="00FD430A" w:rsidRPr="00431ADA" w14:paraId="40D3AEE7" w14:textId="77777777" w:rsidTr="00657560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5C7E751" w14:textId="77777777" w:rsidR="00761D47" w:rsidRPr="00431ADA" w:rsidRDefault="00761D47" w:rsidP="00431AD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სწავლების</w:t>
            </w:r>
            <w:r w:rsidR="00903CC0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ენა</w:t>
            </w:r>
            <w:r w:rsidR="00FD430A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1E5A5" w14:textId="77777777" w:rsidR="00761D47" w:rsidRPr="00431ADA" w:rsidRDefault="00C87E9B" w:rsidP="00431ADA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431ADA" w14:paraId="1EFCAA25" w14:textId="77777777" w:rsidTr="00657560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3E9A418" w14:textId="77777777" w:rsidR="00761D47" w:rsidRPr="00431ADA" w:rsidRDefault="00761D47" w:rsidP="00431AD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903CC0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შემუშავებისა და განახლების</w:t>
            </w:r>
            <w:r w:rsidR="00903CC0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თარიღები</w:t>
            </w:r>
            <w:r w:rsidR="00FD430A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7AA91" w14:textId="77777777" w:rsidR="002406A3" w:rsidRDefault="00970177" w:rsidP="00431ADA">
            <w:pPr>
              <w:spacing w:after="0" w:line="240" w:lineRule="auto"/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აკრედიტაციის </w:t>
            </w:r>
            <w:r w:rsidRPr="00431ADA">
              <w:rPr>
                <w:rFonts w:ascii="Arial" w:hAnsi="Arial" w:cs="Arial"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გადაწყვეტილება</w:t>
            </w:r>
            <w:r w:rsidRPr="00431ADA">
              <w:rPr>
                <w:rFonts w:ascii="Arial" w:hAnsi="Arial" w:cs="Arial"/>
                <w:noProof/>
                <w:sz w:val="20"/>
                <w:szCs w:val="20"/>
                <w:lang w:val="ka-GE"/>
              </w:rPr>
              <w:t xml:space="preserve">: </w:t>
            </w:r>
            <w:r w:rsidRPr="00431A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a-GE"/>
              </w:rPr>
              <w:t>№</w:t>
            </w: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1220351</w:t>
            </w:r>
            <w:r w:rsidRPr="00431ADA"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  <w:t>, 29.10.2021</w:t>
            </w:r>
          </w:p>
          <w:p w14:paraId="1A9D48C0" w14:textId="24B32681" w:rsidR="00A37E5A" w:rsidRPr="00431ADA" w:rsidRDefault="00A37E5A" w:rsidP="00431ADA">
            <w:pPr>
              <w:spacing w:after="0" w:line="240" w:lineRule="auto"/>
              <w:rPr>
                <w:rFonts w:ascii="Sylfaen" w:eastAsia="Times New Roman" w:hAnsi="Sylfaen" w:cs="Calibri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დადგენილება №3 (22/23), 16.09.2022</w:t>
            </w:r>
          </w:p>
        </w:tc>
      </w:tr>
      <w:tr w:rsidR="00FD430A" w:rsidRPr="00431ADA" w14:paraId="5C382E67" w14:textId="77777777" w:rsidTr="00657560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18105A" w14:textId="77777777" w:rsidR="00761D47" w:rsidRPr="00431ADA" w:rsidRDefault="00761D47" w:rsidP="00431ADA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პროგრამაზე</w:t>
            </w:r>
            <w:r w:rsidR="00903CC0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დაშვების</w:t>
            </w:r>
            <w:r w:rsidR="00903CC0"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წინაპირობები</w:t>
            </w:r>
            <w:r w:rsidRPr="00431AD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431AD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მოთხოვნები</w:t>
            </w:r>
            <w:r w:rsidRPr="00431AD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  <w:r w:rsidR="00FD430A" w:rsidRPr="00431AD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431ADA" w14:paraId="274AF908" w14:textId="77777777" w:rsidTr="00C87E9B">
        <w:trPr>
          <w:trHeight w:val="1587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225900" w14:textId="0BDEE6D5" w:rsidR="0077731C" w:rsidRPr="00431ADA" w:rsidRDefault="0077731C" w:rsidP="00431A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აწსუ-ს  ნებისმიერი  პროგრამის სტუდენტი, პირველი კურსის  შემდეგ  პირადი განცხადების </w:t>
            </w:r>
            <w:r w:rsidR="004312D0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საფუძველზე </w:t>
            </w: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ირჩევს მისთვის სასურვ</w:t>
            </w:r>
            <w:r w:rsidR="004312D0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ე</w:t>
            </w: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ლ  </w:t>
            </w:r>
            <w:r w:rsidRPr="00431ADA">
              <w:rPr>
                <w:rFonts w:ascii="Sylfaen" w:eastAsia="Times New Roman" w:hAnsi="Sylfaen" w:cs="Times New Roman"/>
                <w:b/>
                <w:noProof/>
                <w:color w:val="000000"/>
                <w:sz w:val="20"/>
                <w:szCs w:val="20"/>
                <w:lang w:val="ka-GE"/>
              </w:rPr>
              <w:t xml:space="preserve"> minor</w:t>
            </w: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 პროგრამას ქიმიაში.</w:t>
            </w:r>
          </w:p>
          <w:p w14:paraId="0A98E9B8" w14:textId="54401E05" w:rsidR="00C307BD" w:rsidRPr="00431ADA" w:rsidRDefault="00123F2F" w:rsidP="00431A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Sylfaen" w:hAnsi="Sylfaen" w:cs="Calibri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იმ შემთხვევაში თუ პროგრამაზე სწავლის გაგრძელების მსურველთა როადენობა აჭარბებს      ფაკულტეტის საბჭოს მიერ (ქიმიის დეპარტამენტის აკადემიური რესურსების გათვალისწინებით) დადგენილ რაოდენობას, პროგრამაზე ჩარიცხვის წინაპირობებს დამატებით ადგენს ფაკულტეტის საბჭო. წინაპირობები ეფუძნება </w:t>
            </w:r>
            <w:r w:rsidR="0077731C" w:rsidRPr="00431A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სტუდენტთა პირველი კურსის აკადემიურ მოსწრებ</w:t>
            </w:r>
            <w:r w:rsidR="00970156" w:rsidRPr="00431A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="0077731C" w:rsidRPr="00431AD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ს. </w:t>
            </w:r>
          </w:p>
        </w:tc>
      </w:tr>
      <w:tr w:rsidR="00FD430A" w:rsidRPr="00431ADA" w14:paraId="7FE68C3F" w14:textId="77777777" w:rsidTr="00657560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4082CC" w14:textId="77777777" w:rsidR="00761D47" w:rsidRPr="00431ADA" w:rsidRDefault="00761D47" w:rsidP="00431ADA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პროგრამისმიზნები</w:t>
            </w:r>
            <w:r w:rsidR="000A5986" w:rsidRPr="00431ADA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431ADA" w14:paraId="0E03B504" w14:textId="77777777" w:rsidTr="00882020">
        <w:trPr>
          <w:trHeight w:val="1770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11412" w14:textId="77777777" w:rsidR="00C24600" w:rsidRPr="00215A83" w:rsidRDefault="00C24600" w:rsidP="00C2460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215A8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ქიმიის </w:t>
            </w:r>
            <w:r w:rsidRPr="00215A83">
              <w:rPr>
                <w:rFonts w:ascii="Sylfaen" w:eastAsia="Times New Roman" w:hAnsi="Sylfaen" w:cs="Times New Roman"/>
                <w:b/>
                <w:noProof/>
                <w:color w:val="000000"/>
                <w:sz w:val="20"/>
                <w:szCs w:val="20"/>
                <w:lang w:val="ka-GE"/>
              </w:rPr>
              <w:t>minor</w:t>
            </w:r>
            <w:r w:rsidRPr="00215A83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პროგრამის მიზანია: შრომის ბაზარზე მაღალი  კონკურენტუნარიანი მაღალკვალიფიციური, ,სოციალურ გარემოში ადაპტაციისა და კომუნიკაციის , მქონე   კურსდამთავრებულის მომზადება რომელსაც შესწევს:</w:t>
            </w:r>
          </w:p>
          <w:p w14:paraId="3AABE0B7" w14:textId="3F4F0CE9" w:rsidR="00C24600" w:rsidRPr="009A72BB" w:rsidRDefault="00C24600" w:rsidP="009A7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72BB">
              <w:rPr>
                <w:rFonts w:ascii="Sylfaen" w:eastAsia="Times New Roman" w:hAnsi="Sylfaen" w:cs="Times New Roman"/>
                <w:sz w:val="20"/>
                <w:szCs w:val="20"/>
              </w:rPr>
              <w:t xml:space="preserve">ქიმიის ძირითად თეორიებსა და კანონებზე დაყრდნობით   ნივთიერებათა შედგენილობისა და </w:t>
            </w:r>
            <w:r w:rsidRPr="009A72BB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               </w:t>
            </w:r>
            <w:r w:rsidRPr="009A72BB">
              <w:rPr>
                <w:rFonts w:ascii="Sylfaen" w:eastAsia="Times New Roman" w:hAnsi="Sylfaen" w:cs="Times New Roman"/>
                <w:sz w:val="20"/>
                <w:szCs w:val="20"/>
              </w:rPr>
              <w:t>თვისებების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</w:t>
            </w:r>
            <w:r w:rsidRPr="009A72BB">
              <w:rPr>
                <w:rFonts w:ascii="Sylfaen" w:eastAsia="Times New Roman" w:hAnsi="Sylfaen" w:cs="Times New Roman"/>
                <w:sz w:val="20"/>
                <w:szCs w:val="20"/>
              </w:rPr>
              <w:t xml:space="preserve"> გააზრება; </w:t>
            </w:r>
          </w:p>
          <w:p w14:paraId="6ED88ECA" w14:textId="0212FC3D" w:rsidR="00C24600" w:rsidRPr="009A72BB" w:rsidRDefault="00C24600" w:rsidP="009A7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 w:cs="Sylfaen"/>
                <w:noProof/>
                <w:color w:val="000000"/>
                <w:spacing w:val="2"/>
                <w:w w:val="103"/>
                <w:sz w:val="20"/>
                <w:szCs w:val="20"/>
              </w:rPr>
            </w:pPr>
            <w:r w:rsidRPr="009A72BB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ქიმიური ე</w:t>
            </w:r>
            <w:r w:rsidRPr="009A72BB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ლ</w:t>
            </w:r>
            <w:r w:rsidRPr="009A72BB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ემენტე</w:t>
            </w:r>
            <w:r w:rsidRPr="009A72BB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ბი</w:t>
            </w:r>
            <w:r w:rsidRPr="009A72BB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სა და</w:t>
            </w:r>
            <w:r w:rsidRPr="009A72BB">
              <w:rPr>
                <w:rFonts w:ascii="Sylfaen" w:hAnsi="Sylfaen" w:cs="Sylfaen"/>
                <w:noProof/>
                <w:color w:val="000000"/>
                <w:spacing w:val="9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მათ</w:t>
            </w:r>
            <w:r w:rsidRPr="009A72BB">
              <w:rPr>
                <w:rFonts w:ascii="Sylfaen" w:hAnsi="Sylfaen" w:cs="Sylfaen"/>
                <w:noProof/>
                <w:color w:val="000000"/>
                <w:spacing w:val="14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ნ</w:t>
            </w:r>
            <w:r w:rsidRPr="009A72BB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აე</w:t>
            </w:r>
            <w:r w:rsidRPr="009A72BB">
              <w:rPr>
                <w:rFonts w:ascii="Sylfaen" w:hAnsi="Sylfaen" w:cs="Sylfaen"/>
                <w:noProof/>
                <w:color w:val="000000"/>
                <w:spacing w:val="-2"/>
                <w:sz w:val="20"/>
                <w:szCs w:val="20"/>
              </w:rPr>
              <w:t>რ</w:t>
            </w:r>
            <w:r w:rsidRPr="009A72BB">
              <w:rPr>
                <w:rFonts w:ascii="Sylfaen" w:hAnsi="Sylfaen" w:cs="Sylfaen"/>
                <w:noProof/>
                <w:color w:val="000000"/>
                <w:spacing w:val="2"/>
                <w:sz w:val="20"/>
                <w:szCs w:val="20"/>
              </w:rPr>
              <w:t>თ</w:t>
            </w:r>
            <w:r w:rsidRPr="009A72BB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ე</w:t>
            </w:r>
            <w:r w:rsidRPr="009A72BB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ბ</w:t>
            </w:r>
            <w:r w:rsidRPr="009A72BB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ს</w:t>
            </w:r>
            <w:r w:rsidRPr="009A72BB">
              <w:rPr>
                <w:rFonts w:ascii="Sylfaen" w:hAnsi="Sylfaen" w:cs="Sylfaen"/>
                <w:noProof/>
                <w:color w:val="000000"/>
                <w:spacing w:val="28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შ</w:t>
            </w:r>
            <w:r w:rsidRPr="009A72BB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ო</w:t>
            </w:r>
            <w:r w:rsidRPr="009A72BB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რ</w:t>
            </w:r>
            <w:r w:rsidRPr="009A72BB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ის</w:t>
            </w:r>
            <w:r w:rsidRPr="009A72BB">
              <w:rPr>
                <w:rFonts w:ascii="Sylfaen" w:hAnsi="Sylfaen" w:cs="Sylfaen"/>
                <w:noProof/>
                <w:color w:val="000000"/>
                <w:spacing w:val="19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ა</w:t>
            </w:r>
            <w:r w:rsidRPr="009A72BB">
              <w:rPr>
                <w:rFonts w:ascii="Sylfaen" w:hAnsi="Sylfaen" w:cs="Sylfaen"/>
                <w:noProof/>
                <w:color w:val="000000"/>
                <w:spacing w:val="-2"/>
                <w:sz w:val="20"/>
                <w:szCs w:val="20"/>
              </w:rPr>
              <w:t>რ</w:t>
            </w:r>
            <w:r w:rsidRPr="009A72BB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ს</w:t>
            </w:r>
            <w:r w:rsidRPr="009A72BB">
              <w:rPr>
                <w:rFonts w:ascii="Sylfaen" w:hAnsi="Sylfaen" w:cs="Sylfaen"/>
                <w:noProof/>
                <w:color w:val="000000"/>
                <w:spacing w:val="-1"/>
                <w:sz w:val="20"/>
                <w:szCs w:val="20"/>
              </w:rPr>
              <w:t>ებ</w:t>
            </w:r>
            <w:r w:rsidRPr="009A72BB">
              <w:rPr>
                <w:rFonts w:ascii="Sylfaen" w:hAnsi="Sylfaen" w:cs="Sylfaen"/>
                <w:noProof/>
                <w:color w:val="000000"/>
                <w:spacing w:val="1"/>
                <w:sz w:val="20"/>
                <w:szCs w:val="20"/>
              </w:rPr>
              <w:t>ულ</w:t>
            </w:r>
            <w:r w:rsidRPr="009A72BB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ი</w:t>
            </w:r>
            <w:r w:rsidRPr="009A72BB">
              <w:rPr>
                <w:rFonts w:ascii="Sylfaen" w:hAnsi="Sylfaen" w:cs="Sylfaen"/>
                <w:noProof/>
                <w:color w:val="000000"/>
                <w:spacing w:val="31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noProof/>
                <w:color w:val="000000"/>
                <w:w w:val="103"/>
                <w:sz w:val="20"/>
                <w:szCs w:val="20"/>
              </w:rPr>
              <w:t>კ</w:t>
            </w:r>
            <w:r w:rsidRPr="009A72BB">
              <w:rPr>
                <w:rFonts w:ascii="Sylfaen" w:hAnsi="Sylfaen" w:cs="Sylfaen"/>
                <w:noProof/>
                <w:color w:val="000000"/>
                <w:spacing w:val="1"/>
                <w:w w:val="103"/>
                <w:sz w:val="20"/>
                <w:szCs w:val="20"/>
              </w:rPr>
              <w:t>ა</w:t>
            </w:r>
            <w:r w:rsidRPr="009A72BB">
              <w:rPr>
                <w:rFonts w:ascii="Sylfaen" w:hAnsi="Sylfaen" w:cs="Sylfaen"/>
                <w:noProof/>
                <w:color w:val="000000"/>
                <w:w w:val="103"/>
                <w:sz w:val="20"/>
                <w:szCs w:val="20"/>
              </w:rPr>
              <w:t>ნონ</w:t>
            </w:r>
            <w:r w:rsidRPr="009A72BB">
              <w:rPr>
                <w:rFonts w:ascii="Sylfaen" w:hAnsi="Sylfaen" w:cs="Sylfaen"/>
                <w:noProof/>
                <w:color w:val="000000"/>
                <w:spacing w:val="1"/>
                <w:w w:val="103"/>
                <w:sz w:val="20"/>
                <w:szCs w:val="20"/>
              </w:rPr>
              <w:t>ზ</w:t>
            </w:r>
            <w:r w:rsidRPr="009A72BB">
              <w:rPr>
                <w:rFonts w:ascii="Sylfaen" w:hAnsi="Sylfaen" w:cs="Sylfaen"/>
                <w:noProof/>
                <w:color w:val="000000"/>
                <w:w w:val="103"/>
                <w:sz w:val="20"/>
                <w:szCs w:val="20"/>
              </w:rPr>
              <w:t>ომ</w:t>
            </w:r>
            <w:r w:rsidRPr="009A72BB">
              <w:rPr>
                <w:rFonts w:ascii="Sylfaen" w:hAnsi="Sylfaen" w:cs="Sylfaen"/>
                <w:noProof/>
                <w:color w:val="000000"/>
                <w:spacing w:val="1"/>
                <w:w w:val="103"/>
                <w:sz w:val="20"/>
                <w:szCs w:val="20"/>
              </w:rPr>
              <w:t>იე</w:t>
            </w:r>
            <w:r w:rsidRPr="009A72BB">
              <w:rPr>
                <w:rFonts w:ascii="Sylfaen" w:hAnsi="Sylfaen" w:cs="Sylfaen"/>
                <w:noProof/>
                <w:color w:val="000000"/>
                <w:w w:val="103"/>
                <w:sz w:val="20"/>
                <w:szCs w:val="20"/>
              </w:rPr>
              <w:t>რე</w:t>
            </w:r>
            <w:r w:rsidRPr="009A72BB">
              <w:rPr>
                <w:rFonts w:ascii="Sylfaen" w:hAnsi="Sylfaen" w:cs="Sylfaen"/>
                <w:noProof/>
                <w:color w:val="000000"/>
                <w:spacing w:val="2"/>
                <w:w w:val="103"/>
                <w:sz w:val="20"/>
                <w:szCs w:val="20"/>
              </w:rPr>
              <w:t>ბ</w:t>
            </w:r>
            <w:r w:rsidRPr="009A72BB">
              <w:rPr>
                <w:rFonts w:ascii="Sylfaen" w:hAnsi="Sylfaen" w:cs="Sylfaen"/>
                <w:noProof/>
                <w:color w:val="000000"/>
                <w:spacing w:val="-1"/>
                <w:w w:val="103"/>
                <w:sz w:val="20"/>
                <w:szCs w:val="20"/>
              </w:rPr>
              <w:t>ე</w:t>
            </w:r>
            <w:r w:rsidRPr="009A72BB">
              <w:rPr>
                <w:rFonts w:ascii="Sylfaen" w:hAnsi="Sylfaen" w:cs="Sylfaen"/>
                <w:noProof/>
                <w:color w:val="000000"/>
                <w:w w:val="103"/>
                <w:sz w:val="20"/>
                <w:szCs w:val="20"/>
              </w:rPr>
              <w:t>ბ</w:t>
            </w:r>
            <w:r w:rsidRPr="009A72BB">
              <w:rPr>
                <w:rFonts w:ascii="Sylfaen" w:hAnsi="Sylfaen" w:cs="Sylfaen"/>
                <w:noProof/>
                <w:color w:val="000000"/>
                <w:spacing w:val="2"/>
                <w:w w:val="103"/>
                <w:sz w:val="20"/>
                <w:szCs w:val="20"/>
              </w:rPr>
              <w:t>ის განხილვა;</w:t>
            </w:r>
          </w:p>
          <w:p w14:paraId="04EAD213" w14:textId="490A7EAB" w:rsidR="00C24600" w:rsidRPr="009A72BB" w:rsidRDefault="00C24600" w:rsidP="009A7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 w:cs="Sylfaen"/>
                <w:noProof/>
                <w:color w:val="000000"/>
                <w:spacing w:val="2"/>
                <w:w w:val="103"/>
                <w:sz w:val="20"/>
                <w:szCs w:val="20"/>
              </w:rPr>
            </w:pP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ნივთიე</w:t>
            </w:r>
            <w:r w:rsidRPr="009A72BB">
              <w:rPr>
                <w:rFonts w:ascii="Sylfaen" w:hAnsi="Sylfaen" w:cs="Sylfaen"/>
                <w:color w:val="000000"/>
                <w:spacing w:val="-2"/>
                <w:sz w:val="20"/>
                <w:szCs w:val="20"/>
              </w:rPr>
              <w:t>რ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ე</w:t>
            </w:r>
            <w:r w:rsidRPr="009A72BB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ბ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ე</w:t>
            </w:r>
            <w:r w:rsidRPr="009A72BB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ბ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ის 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მ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ი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ღ</w:t>
            </w:r>
            <w:r w:rsidRPr="009A72BB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ებ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ი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r w:rsidRPr="009A72BB">
              <w:rPr>
                <w:rFonts w:ascii="Sylfaen" w:hAnsi="Sylfaen" w:cs="Sylfaen"/>
                <w:color w:val="000000"/>
                <w:spacing w:val="38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ხე</w:t>
            </w:r>
            <w:r w:rsidRPr="009A72BB">
              <w:rPr>
                <w:rFonts w:ascii="Sylfaen" w:hAnsi="Sylfaen" w:cs="Sylfaen"/>
                <w:color w:val="000000"/>
                <w:spacing w:val="-2"/>
                <w:sz w:val="20"/>
                <w:szCs w:val="20"/>
              </w:rPr>
              <w:t>რ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ხე</w:t>
            </w:r>
            <w:r w:rsidRPr="009A72BB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ბ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ის, </w:t>
            </w:r>
            <w:r w:rsidRPr="009A72BB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მა</w:t>
            </w:r>
            <w:r w:rsidRPr="009A72BB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თი</w:t>
            </w:r>
            <w:r w:rsidRPr="009A72BB">
              <w:rPr>
                <w:rFonts w:ascii="Sylfaen" w:hAnsi="Sylfaen" w:cs="Sylfaen"/>
                <w:color w:val="000000"/>
                <w:spacing w:val="10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გამოყოფ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ა-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გ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ა</w:t>
            </w:r>
            <w:r w:rsidRPr="009A72BB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ს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უ</w:t>
            </w:r>
            <w:r w:rsidRPr="009A72BB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ფ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თავების</w:t>
            </w:r>
            <w:r w:rsidRPr="009A72BB">
              <w:rPr>
                <w:rFonts w:ascii="Sylfaen" w:hAnsi="Sylfaen" w:cs="Sylfaen"/>
                <w:color w:val="000000"/>
                <w:spacing w:val="20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მე</w:t>
            </w:r>
            <w:r w:rsidRPr="009A72BB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თ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ო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დე</w:t>
            </w:r>
            <w:r w:rsidRPr="009A72BB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ბ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ისა და</w:t>
            </w:r>
            <w:r w:rsidRPr="009A72BB">
              <w:rPr>
                <w:rFonts w:ascii="Sylfaen" w:hAnsi="Sylfaen" w:cs="Sylfaen"/>
                <w:color w:val="000000"/>
                <w:spacing w:val="10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რ</w:t>
            </w:r>
            <w:r w:rsidRPr="009A72BB">
              <w:rPr>
                <w:rFonts w:ascii="Sylfaen" w:hAnsi="Sylfaen" w:cs="Sylfaen"/>
                <w:color w:val="000000"/>
                <w:spacing w:val="-2"/>
                <w:sz w:val="20"/>
                <w:szCs w:val="20"/>
              </w:rPr>
              <w:t>ე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აქც</w:t>
            </w:r>
            <w:r w:rsidRPr="009A72BB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იე</w:t>
            </w:r>
            <w:r w:rsidRPr="009A72BB">
              <w:rPr>
                <w:rFonts w:ascii="Sylfaen" w:hAnsi="Sylfaen" w:cs="Sylfaen"/>
                <w:color w:val="000000"/>
                <w:spacing w:val="2"/>
                <w:sz w:val="20"/>
                <w:szCs w:val="20"/>
              </w:rPr>
              <w:t>ბ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ზ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ე </w:t>
            </w:r>
            <w:r w:rsidRPr="009A72BB">
              <w:rPr>
                <w:rFonts w:ascii="Sylfaen" w:hAnsi="Sylfaen" w:cs="Sylfaen"/>
                <w:color w:val="000000"/>
                <w:spacing w:val="-1"/>
                <w:w w:val="103"/>
                <w:sz w:val="20"/>
                <w:szCs w:val="20"/>
              </w:rPr>
              <w:t>მ</w:t>
            </w:r>
            <w:r w:rsidRPr="009A72BB">
              <w:rPr>
                <w:rFonts w:ascii="Sylfaen" w:hAnsi="Sylfaen" w:cs="Sylfaen"/>
                <w:color w:val="000000"/>
                <w:spacing w:val="2"/>
                <w:w w:val="103"/>
                <w:sz w:val="20"/>
                <w:szCs w:val="20"/>
              </w:rPr>
              <w:t>ო</w:t>
            </w:r>
            <w:r w:rsidRPr="009A72BB">
              <w:rPr>
                <w:rFonts w:ascii="Sylfaen" w:hAnsi="Sylfaen" w:cs="Sylfaen"/>
                <w:color w:val="000000"/>
                <w:spacing w:val="-1"/>
                <w:w w:val="103"/>
                <w:sz w:val="20"/>
                <w:szCs w:val="20"/>
              </w:rPr>
              <w:t>ქ</w:t>
            </w:r>
            <w:r w:rsidRPr="009A72BB">
              <w:rPr>
                <w:rFonts w:ascii="Sylfaen" w:hAnsi="Sylfaen" w:cs="Sylfaen"/>
                <w:color w:val="000000"/>
                <w:w w:val="103"/>
                <w:sz w:val="20"/>
                <w:szCs w:val="20"/>
              </w:rPr>
              <w:t>მ</w:t>
            </w:r>
            <w:r w:rsidRPr="009A72BB">
              <w:rPr>
                <w:rFonts w:ascii="Sylfaen" w:hAnsi="Sylfaen" w:cs="Sylfaen"/>
                <w:color w:val="000000"/>
                <w:spacing w:val="1"/>
                <w:w w:val="103"/>
                <w:sz w:val="20"/>
                <w:szCs w:val="20"/>
              </w:rPr>
              <w:t>ე</w:t>
            </w:r>
            <w:r w:rsidRPr="009A72BB">
              <w:rPr>
                <w:rFonts w:ascii="Sylfaen" w:hAnsi="Sylfaen" w:cs="Sylfaen"/>
                <w:color w:val="000000"/>
                <w:spacing w:val="-1"/>
                <w:w w:val="103"/>
                <w:sz w:val="20"/>
                <w:szCs w:val="20"/>
              </w:rPr>
              <w:t>დ</w:t>
            </w:r>
            <w:r w:rsidRPr="009A72BB">
              <w:rPr>
                <w:rFonts w:ascii="Sylfaen" w:hAnsi="Sylfaen" w:cs="Sylfaen"/>
                <w:color w:val="000000"/>
                <w:w w:val="103"/>
                <w:sz w:val="20"/>
                <w:szCs w:val="20"/>
              </w:rPr>
              <w:t xml:space="preserve">ი 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ფ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აქტ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ო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რ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ე</w:t>
            </w:r>
            <w:r w:rsidRPr="009A72BB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ბ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r w:rsidRPr="009A72BB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 xml:space="preserve">  მიმოხილვა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;</w:t>
            </w:r>
          </w:p>
          <w:p w14:paraId="3F89CB97" w14:textId="17F6C14A" w:rsidR="00C24600" w:rsidRPr="009A72BB" w:rsidRDefault="00C24600" w:rsidP="009A7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 w:cs="Sylfaen"/>
                <w:w w:val="103"/>
                <w:sz w:val="20"/>
                <w:szCs w:val="20"/>
              </w:rPr>
            </w:pPr>
            <w:bookmarkStart w:id="0" w:name="_GoBack"/>
            <w:bookmarkEnd w:id="0"/>
            <w:r w:rsidRPr="009A72BB">
              <w:rPr>
                <w:rFonts w:ascii="Sylfaen" w:hAnsi="Sylfaen" w:cs="Sylfaen"/>
                <w:color w:val="000000"/>
                <w:spacing w:val="1"/>
                <w:w w:val="103"/>
                <w:position w:val="1"/>
                <w:sz w:val="20"/>
                <w:szCs w:val="20"/>
              </w:rPr>
              <w:t xml:space="preserve">ორგანული ნაერთების </w:t>
            </w:r>
            <w:r w:rsidRPr="009A72BB">
              <w:rPr>
                <w:rFonts w:ascii="Sylfaen" w:hAnsi="Sylfaen" w:cs="Sylfaen"/>
                <w:color w:val="000000"/>
                <w:position w:val="1"/>
                <w:sz w:val="20"/>
                <w:szCs w:val="20"/>
              </w:rPr>
              <w:t xml:space="preserve"> აღნაგ</w:t>
            </w:r>
            <w:r w:rsidRPr="009A72BB">
              <w:rPr>
                <w:rFonts w:ascii="Sylfaen" w:hAnsi="Sylfaen" w:cs="Sylfaen"/>
                <w:color w:val="000000"/>
                <w:spacing w:val="2"/>
                <w:position w:val="1"/>
                <w:sz w:val="20"/>
                <w:szCs w:val="20"/>
              </w:rPr>
              <w:t>ო</w:t>
            </w:r>
            <w:r w:rsidRPr="009A72BB">
              <w:rPr>
                <w:rFonts w:ascii="Sylfaen" w:hAnsi="Sylfaen" w:cs="Sylfaen"/>
                <w:color w:val="000000"/>
                <w:position w:val="1"/>
                <w:sz w:val="20"/>
                <w:szCs w:val="20"/>
              </w:rPr>
              <w:t xml:space="preserve">ბის, </w:t>
            </w:r>
            <w:r w:rsidRPr="009A72BB">
              <w:rPr>
                <w:rFonts w:ascii="Sylfaen" w:hAnsi="Sylfaen" w:cs="Sylfaen"/>
                <w:spacing w:val="1"/>
                <w:w w:val="103"/>
                <w:sz w:val="20"/>
                <w:szCs w:val="20"/>
              </w:rPr>
              <w:t>უ</w:t>
            </w:r>
            <w:r w:rsidRPr="009A72BB">
              <w:rPr>
                <w:rFonts w:ascii="Sylfaen" w:hAnsi="Sylfaen" w:cs="Sylfaen"/>
                <w:w w:val="103"/>
                <w:sz w:val="20"/>
                <w:szCs w:val="20"/>
              </w:rPr>
              <w:t xml:space="preserve">რთიერთგარდაქმნის </w:t>
            </w:r>
            <w:r w:rsidRPr="009A72BB">
              <w:rPr>
                <w:rFonts w:ascii="Sylfaen" w:hAnsi="Sylfaen" w:cs="Sylfaen"/>
                <w:sz w:val="20"/>
                <w:szCs w:val="20"/>
              </w:rPr>
              <w:t>რე</w:t>
            </w:r>
            <w:r w:rsidRPr="009A72BB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9A72BB">
              <w:rPr>
                <w:rFonts w:ascii="Sylfaen" w:hAnsi="Sylfaen" w:cs="Sylfaen"/>
                <w:sz w:val="20"/>
                <w:szCs w:val="20"/>
              </w:rPr>
              <w:t>ქც</w:t>
            </w:r>
            <w:r w:rsidRPr="009A72BB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9A72BB">
              <w:rPr>
                <w:rFonts w:ascii="Sylfaen" w:hAnsi="Sylfaen" w:cs="Sylfaen"/>
                <w:sz w:val="20"/>
                <w:szCs w:val="20"/>
              </w:rPr>
              <w:t>ებ</w:t>
            </w:r>
            <w:r w:rsidRPr="009A72BB">
              <w:rPr>
                <w:rFonts w:ascii="Sylfaen" w:hAnsi="Sylfaen" w:cs="Sylfaen"/>
                <w:spacing w:val="1"/>
                <w:sz w:val="20"/>
                <w:szCs w:val="20"/>
              </w:rPr>
              <w:t>ისა</w:t>
            </w:r>
            <w:r w:rsidRPr="009A72BB">
              <w:rPr>
                <w:rFonts w:ascii="Sylfaen" w:hAnsi="Sylfaen" w:cs="Sylfaen"/>
                <w:spacing w:val="14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color w:val="000000"/>
                <w:position w:val="1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w w:val="103"/>
                <w:sz w:val="20"/>
                <w:szCs w:val="20"/>
              </w:rPr>
              <w:t>და მექან</w:t>
            </w:r>
            <w:r w:rsidRPr="009A72BB">
              <w:rPr>
                <w:rFonts w:ascii="Sylfaen" w:hAnsi="Sylfaen" w:cs="Sylfaen"/>
                <w:spacing w:val="1"/>
                <w:w w:val="103"/>
                <w:sz w:val="20"/>
                <w:szCs w:val="20"/>
              </w:rPr>
              <w:t>ი</w:t>
            </w:r>
            <w:r w:rsidRPr="009A72BB">
              <w:rPr>
                <w:rFonts w:ascii="Sylfaen" w:hAnsi="Sylfaen" w:cs="Sylfaen"/>
                <w:w w:val="103"/>
                <w:sz w:val="20"/>
                <w:szCs w:val="20"/>
              </w:rPr>
              <w:t xml:space="preserve">ზმების  </w:t>
            </w:r>
            <w:r w:rsidRPr="009A72B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color w:val="000000"/>
                <w:position w:val="1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w w:val="103"/>
                <w:sz w:val="20"/>
                <w:szCs w:val="20"/>
              </w:rPr>
              <w:t>დადგენა;</w:t>
            </w:r>
          </w:p>
          <w:p w14:paraId="24542B89" w14:textId="449F6829" w:rsidR="00C24600" w:rsidRPr="009A72BB" w:rsidRDefault="00C24600" w:rsidP="009A72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 w:cs="Sylfaen"/>
                <w:color w:val="000000"/>
                <w:w w:val="103"/>
                <w:sz w:val="20"/>
                <w:szCs w:val="20"/>
              </w:rPr>
            </w:pP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სის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ტ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ე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მ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აში </w:t>
            </w:r>
            <w:r w:rsidRPr="009A72BB">
              <w:rPr>
                <w:rFonts w:ascii="Sylfaen" w:hAnsi="Sylfaen" w:cs="Sylfaen"/>
                <w:color w:val="000000"/>
                <w:spacing w:val="1"/>
                <w:w w:val="103"/>
                <w:sz w:val="20"/>
                <w:szCs w:val="20"/>
              </w:rPr>
              <w:t>პრ</w:t>
            </w:r>
            <w:r w:rsidRPr="009A72BB">
              <w:rPr>
                <w:rFonts w:ascii="Sylfaen" w:hAnsi="Sylfaen" w:cs="Sylfaen"/>
                <w:color w:val="000000"/>
                <w:spacing w:val="-1"/>
                <w:w w:val="103"/>
                <w:sz w:val="20"/>
                <w:szCs w:val="20"/>
              </w:rPr>
              <w:t>ო</w:t>
            </w:r>
            <w:r w:rsidRPr="009A72BB">
              <w:rPr>
                <w:rFonts w:ascii="Sylfaen" w:hAnsi="Sylfaen" w:cs="Sylfaen"/>
                <w:color w:val="000000"/>
                <w:spacing w:val="1"/>
                <w:w w:val="103"/>
                <w:sz w:val="20"/>
                <w:szCs w:val="20"/>
              </w:rPr>
              <w:t>ცეს</w:t>
            </w:r>
            <w:r w:rsidRPr="009A72BB">
              <w:rPr>
                <w:rFonts w:ascii="Sylfaen" w:hAnsi="Sylfaen" w:cs="Sylfaen"/>
                <w:color w:val="000000"/>
                <w:spacing w:val="-1"/>
                <w:w w:val="103"/>
                <w:sz w:val="20"/>
                <w:szCs w:val="20"/>
              </w:rPr>
              <w:t>ებ</w:t>
            </w:r>
            <w:r w:rsidRPr="009A72BB">
              <w:rPr>
                <w:rFonts w:ascii="Sylfaen" w:hAnsi="Sylfaen" w:cs="Sylfaen"/>
                <w:color w:val="000000"/>
                <w:spacing w:val="1"/>
                <w:w w:val="103"/>
                <w:sz w:val="20"/>
                <w:szCs w:val="20"/>
              </w:rPr>
              <w:t xml:space="preserve">ის 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მიმდინარეობ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ი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 შესაძლებლობისა და 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ხ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სნ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არ</w:t>
            </w:r>
            <w:r w:rsidRPr="009A72BB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ებ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r w:rsidRPr="009A72BB">
              <w:rPr>
                <w:rFonts w:ascii="Sylfaen" w:hAnsi="Sylfaen" w:cs="Sylfaen"/>
                <w:color w:val="000000"/>
                <w:spacing w:val="18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კოლოგ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ა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ტ</w:t>
            </w:r>
            <w:r w:rsidRPr="009A72BB">
              <w:rPr>
                <w:rFonts w:ascii="Sylfaen" w:hAnsi="Sylfaen" w:cs="Sylfaen"/>
                <w:color w:val="000000"/>
                <w:spacing w:val="1"/>
                <w:sz w:val="20"/>
                <w:szCs w:val="20"/>
              </w:rPr>
              <w:t>ი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უ</w:t>
            </w:r>
            <w:r w:rsidRPr="009A72BB">
              <w:rPr>
                <w:rFonts w:ascii="Sylfaen" w:hAnsi="Sylfaen" w:cs="Sylfaen"/>
                <w:color w:val="000000"/>
                <w:spacing w:val="-2"/>
                <w:sz w:val="20"/>
                <w:szCs w:val="20"/>
              </w:rPr>
              <w:t>რ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ი</w:t>
            </w:r>
            <w:r w:rsidRPr="009A72BB">
              <w:rPr>
                <w:rFonts w:ascii="Sylfaen" w:hAnsi="Sylfaen" w:cs="Sylfaen"/>
                <w:color w:val="000000"/>
                <w:spacing w:val="13"/>
                <w:sz w:val="20"/>
                <w:szCs w:val="20"/>
              </w:rPr>
              <w:t xml:space="preserve"> 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>თ</w:t>
            </w:r>
            <w:r w:rsidRPr="009A72BB">
              <w:rPr>
                <w:rFonts w:ascii="Sylfaen" w:hAnsi="Sylfaen" w:cs="Sylfaen"/>
                <w:color w:val="000000"/>
                <w:spacing w:val="-1"/>
                <w:sz w:val="20"/>
                <w:szCs w:val="20"/>
              </w:rPr>
              <w:t>ვ</w:t>
            </w:r>
            <w:r w:rsidRPr="009A72B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ისებების </w:t>
            </w:r>
            <w:r w:rsidRPr="009A72BB">
              <w:rPr>
                <w:rFonts w:ascii="Sylfaen" w:hAnsi="Sylfaen" w:cs="Sylfaen"/>
                <w:color w:val="000000"/>
                <w:spacing w:val="1"/>
                <w:w w:val="103"/>
                <w:sz w:val="20"/>
                <w:szCs w:val="20"/>
              </w:rPr>
              <w:t>ახსნა</w:t>
            </w:r>
            <w:r w:rsidRPr="009A72BB">
              <w:rPr>
                <w:rFonts w:ascii="Sylfaen" w:hAnsi="Sylfaen" w:cs="Sylfaen"/>
                <w:color w:val="000000"/>
                <w:w w:val="103"/>
                <w:sz w:val="20"/>
                <w:szCs w:val="20"/>
              </w:rPr>
              <w:t>.</w:t>
            </w:r>
          </w:p>
          <w:p w14:paraId="2A3352FE" w14:textId="6E8479C9" w:rsidR="000A5986" w:rsidRPr="00431ADA" w:rsidRDefault="000A5986" w:rsidP="00431AD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FD430A" w:rsidRPr="00431ADA" w14:paraId="30A65755" w14:textId="77777777" w:rsidTr="00657560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440CA8" w14:textId="77777777" w:rsidR="00761D47" w:rsidRPr="00431ADA" w:rsidRDefault="00761D47" w:rsidP="00431ADA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</w:t>
            </w:r>
            <w:r w:rsidR="00B74630"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შედეგები</w:t>
            </w:r>
            <w:r w:rsidRPr="00431ADA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 ( </w:t>
            </w: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ზოგადი</w:t>
            </w:r>
            <w:r w:rsidR="00B74630"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</w:t>
            </w:r>
            <w:r w:rsidR="00B74630"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დარგობრივი</w:t>
            </w:r>
            <w:r w:rsidR="00B74630"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კომპეტენციები</w:t>
            </w:r>
            <w:r w:rsidRPr="00431ADA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)</w:t>
            </w:r>
            <w:r w:rsidR="00FD430A" w:rsidRPr="00431ADA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722746" w:rsidRPr="00431ADA" w14:paraId="6CDDECEC" w14:textId="77777777" w:rsidTr="00C24600">
        <w:trPr>
          <w:trHeight w:val="1932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87C1DCE" w14:textId="0FBFA5E7" w:rsidR="00722746" w:rsidRPr="00431ADA" w:rsidRDefault="00722746" w:rsidP="00431AD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ცოდნა და გაცნობიერება: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F30B17A" w14:textId="77777777" w:rsidR="00C24600" w:rsidRPr="00E24DAA" w:rsidRDefault="00C24600" w:rsidP="00C246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Sylfaen" w:eastAsia="Calibri" w:hAnsi="Sylfaen" w:cs="Sylfaen"/>
                <w:noProof/>
                <w:sz w:val="20"/>
                <w:szCs w:val="20"/>
              </w:rPr>
            </w:pPr>
            <w:r w:rsidRPr="00E24DAA">
              <w:rPr>
                <w:rFonts w:ascii="Sylfaen" w:eastAsia="Calibri" w:hAnsi="Sylfaen" w:cs="Sylfaen"/>
                <w:noProof/>
                <w:sz w:val="20"/>
                <w:szCs w:val="20"/>
              </w:rPr>
              <w:t>აყალიბებს  მნიშვნელოვან ფაქტებს, ძირითად ცნებებს, თეორიებს, კანონებს,     ნომენკლატურას, კლასიფიკაციასა და ტერმინოლოგიას</w:t>
            </w:r>
            <w:r w:rsidRPr="00E24DAA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;</w:t>
            </w:r>
          </w:p>
          <w:p w14:paraId="1A156D70" w14:textId="77777777" w:rsidR="00C24600" w:rsidRPr="00E24DAA" w:rsidRDefault="00C24600" w:rsidP="00C246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</w:pPr>
            <w:r w:rsidRPr="00E24DA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აღწერს ქიმიური რეაქციების მიმდინარეობის მექანიზმებს, ფუნქციონალური ჯგუფების ბუნებას, ნივთიერების </w:t>
            </w:r>
            <w:r w:rsidRPr="00E24DAA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>თვისებ</w:t>
            </w:r>
            <w:r w:rsidRPr="00E24DA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ებ</w:t>
            </w:r>
            <w:r w:rsidRPr="00E24DAA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>ს</w:t>
            </w:r>
            <w:r w:rsidRPr="00E24DA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 და ანალიზის მეთოდებს;</w:t>
            </w:r>
          </w:p>
          <w:p w14:paraId="35CBF760" w14:textId="43142C8A" w:rsidR="00EB6055" w:rsidRPr="00431ADA" w:rsidRDefault="00C24600" w:rsidP="00C246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Sylfaen" w:eastAsia="Calibri" w:hAnsi="Sylfaen" w:cs="Sylfaen"/>
                <w:noProof/>
                <w:color w:val="C00000"/>
                <w:sz w:val="20"/>
                <w:szCs w:val="20"/>
                <w:lang w:val="ka-GE"/>
              </w:rPr>
            </w:pPr>
            <w:r w:rsidRPr="00E24DA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აღწერს  ქიმიური რეაქციების ძირითად ტიპებსა და მათი</w:t>
            </w:r>
            <w:r w:rsidRPr="00A33FF2"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  <w:t xml:space="preserve"> </w:t>
            </w:r>
            <w:r w:rsidRPr="00E24DA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ჩატარების პირობებს, ნივთიერებათა მიღების მეთოდებსა და ქიმიური გარდაქმნის  მართვის</w:t>
            </w:r>
            <w:r w:rsidRPr="00E24DAA">
              <w:rPr>
                <w:rFonts w:ascii="Sylfaen" w:eastAsia="Times New Roman" w:hAnsi="Sylfaen" w:cs="Times New Roman"/>
                <w:noProof/>
                <w:sz w:val="20"/>
                <w:szCs w:val="20"/>
              </w:rPr>
              <w:t xml:space="preserve"> </w:t>
            </w:r>
            <w:r w:rsidRPr="00E24DA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წესებს</w:t>
            </w:r>
          </w:p>
        </w:tc>
      </w:tr>
      <w:tr w:rsidR="00722746" w:rsidRPr="00431ADA" w14:paraId="0E634179" w14:textId="77777777" w:rsidTr="00657560">
        <w:trPr>
          <w:trHeight w:val="31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8D70BC7" w14:textId="77777777" w:rsidR="00722746" w:rsidRPr="00431ADA" w:rsidRDefault="00722746" w:rsidP="00431AD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უნარი:</w:t>
            </w:r>
          </w:p>
          <w:p w14:paraId="0CEB9675" w14:textId="77777777" w:rsidR="00722746" w:rsidRPr="00431ADA" w:rsidRDefault="00722746" w:rsidP="00431AD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563B9BF" w14:textId="77777777" w:rsidR="00C24600" w:rsidRPr="00E24DAA" w:rsidRDefault="00A83B87" w:rsidP="00C24600">
            <w:pPr>
              <w:numPr>
                <w:ilvl w:val="0"/>
                <w:numId w:val="12"/>
              </w:numPr>
              <w:spacing w:after="0" w:line="240" w:lineRule="auto"/>
              <w:ind w:left="703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ატარებს</w:t>
            </w:r>
            <w:r w:rsidR="00BF512B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C24600" w:rsidRPr="00E24DAA">
              <w:rPr>
                <w:rFonts w:ascii="Sylfaen" w:eastAsia="Times New Roman" w:hAnsi="Sylfaen" w:cs="Times New Roman"/>
                <w:sz w:val="20"/>
                <w:szCs w:val="20"/>
              </w:rPr>
              <w:t>ექსპერიმენტს, ამუშავებს   მონაცემებს, აკეთებს    მოსალოდნელი შედეგების  პროგნოზირებას  და  დასკვნებს ანალიზის საფუძველზე;</w:t>
            </w:r>
          </w:p>
          <w:p w14:paraId="5DD97760" w14:textId="77777777" w:rsidR="00C24600" w:rsidRPr="00E24DAA" w:rsidRDefault="00C24600" w:rsidP="00C24600">
            <w:pPr>
              <w:pStyle w:val="ListParagraph"/>
              <w:numPr>
                <w:ilvl w:val="0"/>
                <w:numId w:val="12"/>
              </w:numPr>
              <w:ind w:left="703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24DA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გამოყოფს ნივთიერებებს ნარევიდან, </w:t>
            </w:r>
            <w:r w:rsidRPr="00E24DAA">
              <w:rPr>
                <w:rFonts w:ascii="Sylfaen" w:eastAsia="Times New Roman" w:hAnsi="Sylfaen" w:cs="Times New Roman"/>
                <w:color w:val="FFFF00"/>
                <w:sz w:val="20"/>
                <w:szCs w:val="20"/>
                <w:lang w:val="ka-GE"/>
              </w:rPr>
              <w:t xml:space="preserve"> </w:t>
            </w:r>
            <w:r w:rsidRPr="00E24DA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 ატარებს იონთა   და ფუნქციონალური ჯგუფების  აღმომჩენ რეაქციებს;</w:t>
            </w:r>
          </w:p>
          <w:p w14:paraId="1BDD2864" w14:textId="7AC59768" w:rsidR="00722746" w:rsidRPr="00431ADA" w:rsidRDefault="00C24600" w:rsidP="00C246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03" w:hanging="283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E24DA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პროგნოზირებს პროცესის ენერგეტიკულ მდგომარეობასა და  რეაქციიის მიმდინარეობის   შესაძლებლობას.</w:t>
            </w:r>
          </w:p>
        </w:tc>
      </w:tr>
      <w:tr w:rsidR="00722746" w:rsidRPr="00431ADA" w14:paraId="71F4ACC7" w14:textId="77777777" w:rsidTr="00431ADA">
        <w:trPr>
          <w:trHeight w:val="559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0D37AD4" w14:textId="77777777" w:rsidR="00722746" w:rsidRPr="00431ADA" w:rsidRDefault="00722746" w:rsidP="00431AD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პასუხისმგებლობა და ავტონომიურობა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1BCF84" w14:textId="77777777" w:rsidR="00722746" w:rsidRPr="00431ADA" w:rsidRDefault="00722746" w:rsidP="00431ADA">
            <w:pPr>
              <w:spacing w:after="0" w:line="240" w:lineRule="auto"/>
              <w:ind w:left="720"/>
              <w:jc w:val="both"/>
              <w:textAlignment w:val="baseline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FD430A" w:rsidRPr="00431ADA" w14:paraId="43BD9DA6" w14:textId="77777777" w:rsidTr="00657560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95467A" w14:textId="77777777" w:rsidR="009D7832" w:rsidRPr="00431ADA" w:rsidRDefault="009D7832" w:rsidP="00431ADA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სწავლების</w:t>
            </w:r>
            <w:r w:rsidR="002357B9"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ა</w:t>
            </w: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მეთოდები</w:t>
            </w:r>
          </w:p>
        </w:tc>
      </w:tr>
      <w:tr w:rsidR="00FD430A" w:rsidRPr="00431ADA" w14:paraId="50F478E6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27662" w14:textId="05AA88CF" w:rsidR="009D7832" w:rsidRPr="00431ADA" w:rsidRDefault="00400424" w:rsidP="00431ADA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>ვერბალური</w:t>
            </w:r>
            <w:r w:rsidR="00722746"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>ახსნა-განმარტების, ანალიზის</w:t>
            </w:r>
            <w:r w:rsidR="002357B9"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>ა</w:t>
            </w: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და სინთეზის, ინდუქციის</w:t>
            </w:r>
            <w:r w:rsidR="002357B9"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>ა</w:t>
            </w: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და დედუქციის,  ლაბორატორიული, </w:t>
            </w: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დემონსტრირების, წერითი მუშაობის, პრაქტიკული, წიგნზე მუშაობი</w:t>
            </w:r>
            <w:r w:rsidR="002357B9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</w:t>
            </w:r>
            <w:r w:rsidR="00722746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თანამშრომლობითი</w:t>
            </w:r>
            <w:r w:rsidR="002357B9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,</w:t>
            </w: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ქმედებაზე ორიენტირებული</w:t>
            </w:r>
            <w:r w:rsidR="002357B9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სწავლების</w:t>
            </w: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722746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მეთოდები</w:t>
            </w:r>
            <w:r w:rsidR="002357B9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FD430A" w:rsidRPr="00431ADA" w14:paraId="167D9220" w14:textId="77777777" w:rsidTr="00657560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CEED97" w14:textId="77777777" w:rsidR="009D7832" w:rsidRPr="00431ADA" w:rsidRDefault="009D7832" w:rsidP="00431AD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431ADA" w14:paraId="7875964C" w14:textId="77777777" w:rsidTr="00A378BB">
        <w:trPr>
          <w:trHeight w:val="1818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B880D" w14:textId="09D76DE0" w:rsidR="00123F2F" w:rsidRPr="00431ADA" w:rsidRDefault="00123F2F" w:rsidP="00431ADA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პროგრამა გრძელდება 3 წელი (VI სემესტრი) პროგრამა მოიცავს 60 კრედიტს (ECTS) წელიწადში 20კრედიტი  თითოეულ სემესტრში 10 კრედიტს.  აწსუ-ში მიღებული წესის თანახმად 1  ECTS ტოლია სტუდენტის მუშაობის 25 საათის.</w:t>
            </w: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A36A4E"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დამატებითი </w:t>
            </w:r>
            <w:r w:rsidR="00A36A4E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minor</w:t>
            </w:r>
            <w:r w:rsidR="00A36A4E"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 პროგრამით</w:t>
            </w:r>
            <w:r w:rsidR="00A36A4E"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431ADA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გათვალისწინებული სასწავლო კურსის მოცულობა შეიძლება იყოს 5  ECTS ან მისი ჯერადი.</w:t>
            </w:r>
          </w:p>
          <w:p w14:paraId="547F3DED" w14:textId="77777777" w:rsidR="00123F2F" w:rsidRPr="00431ADA" w:rsidRDefault="00123F2F" w:rsidP="00431ADA">
            <w:pPr>
              <w:spacing w:after="0" w:line="240" w:lineRule="auto"/>
              <w:jc w:val="both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არჩევითი სასწავლო კურსის მოცულობა ტოლია დღეში  3 საკონტაქტო საათის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5"/>
              <w:gridCol w:w="250"/>
              <w:gridCol w:w="1701"/>
              <w:gridCol w:w="2693"/>
            </w:tblGrid>
            <w:tr w:rsidR="00123F2F" w:rsidRPr="00431ADA" w14:paraId="258AE97F" w14:textId="77777777" w:rsidTr="00393318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7799D2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სემესტრი</w:t>
                  </w:r>
                </w:p>
              </w:tc>
              <w:tc>
                <w:tcPr>
                  <w:tcW w:w="25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754D644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ACEBC3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მინორი  ECTS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D5175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სულ ECTS</w:t>
                  </w:r>
                </w:p>
              </w:tc>
            </w:tr>
            <w:tr w:rsidR="00123F2F" w:rsidRPr="00431ADA" w14:paraId="085BBFD3" w14:textId="77777777" w:rsidTr="00393318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C6781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III</w:t>
                  </w: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B8BACD0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15F17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99953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</w:tr>
            <w:tr w:rsidR="00123F2F" w:rsidRPr="00431ADA" w14:paraId="7A1B6A44" w14:textId="77777777" w:rsidTr="00393318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ABDBF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IV</w:t>
                  </w: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CAE242A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AE3D5F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51E61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</w:tr>
            <w:tr w:rsidR="00123F2F" w:rsidRPr="00431ADA" w14:paraId="0B651305" w14:textId="77777777" w:rsidTr="00393318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8BCCD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V</w:t>
                  </w: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7FFAEF6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7C678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5BECA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</w:tr>
            <w:tr w:rsidR="00123F2F" w:rsidRPr="00431ADA" w14:paraId="3E01C482" w14:textId="77777777" w:rsidTr="00393318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74CCE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VI</w:t>
                  </w: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A6A5833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65C71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53290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</w:tr>
            <w:tr w:rsidR="00123F2F" w:rsidRPr="00431ADA" w14:paraId="3532E4F7" w14:textId="77777777" w:rsidTr="00393318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C955A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VII</w:t>
                  </w: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D5A8DA2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F88E4B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779242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</w:tr>
            <w:tr w:rsidR="00123F2F" w:rsidRPr="00431ADA" w14:paraId="291AEBE2" w14:textId="77777777" w:rsidTr="00393318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869C49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VIII</w:t>
                  </w: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326A470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F49B6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B899C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noProof/>
                      <w:color w:val="000000"/>
                      <w:sz w:val="20"/>
                      <w:szCs w:val="20"/>
                      <w:lang w:val="ka-GE"/>
                    </w:rPr>
                    <w:t>10</w:t>
                  </w:r>
                </w:p>
              </w:tc>
            </w:tr>
            <w:tr w:rsidR="00123F2F" w:rsidRPr="00431ADA" w14:paraId="14603BCC" w14:textId="77777777" w:rsidTr="00393318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7F826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b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b/>
                      <w:noProof/>
                      <w:color w:val="000000"/>
                      <w:sz w:val="20"/>
                      <w:szCs w:val="20"/>
                      <w:lang w:val="ka-GE"/>
                    </w:rPr>
                    <w:t>ჯამი</w:t>
                  </w:r>
                </w:p>
              </w:tc>
              <w:tc>
                <w:tcPr>
                  <w:tcW w:w="25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0578260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b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17C09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b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b/>
                      <w:noProof/>
                      <w:color w:val="000000"/>
                      <w:sz w:val="20"/>
                      <w:szCs w:val="20"/>
                      <w:lang w:val="ka-GE"/>
                    </w:rPr>
                    <w:t>60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032F8" w14:textId="77777777" w:rsidR="00123F2F" w:rsidRPr="00431ADA" w:rsidRDefault="00123F2F" w:rsidP="009A72BB">
                  <w:pPr>
                    <w:framePr w:hSpace="180" w:wrap="around" w:vAnchor="text" w:hAnchor="page" w:x="581" w:y="485"/>
                    <w:spacing w:after="0" w:line="240" w:lineRule="auto"/>
                    <w:jc w:val="both"/>
                    <w:rPr>
                      <w:rFonts w:ascii="Sylfaen" w:hAnsi="Sylfaen"/>
                      <w:b/>
                      <w:noProof/>
                      <w:color w:val="000000"/>
                      <w:sz w:val="20"/>
                      <w:szCs w:val="20"/>
                      <w:lang w:val="ka-GE"/>
                    </w:rPr>
                  </w:pPr>
                  <w:r w:rsidRPr="00431ADA">
                    <w:rPr>
                      <w:rFonts w:ascii="Sylfaen" w:hAnsi="Sylfaen"/>
                      <w:b/>
                      <w:noProof/>
                      <w:color w:val="000000"/>
                      <w:sz w:val="20"/>
                      <w:szCs w:val="20"/>
                      <w:lang w:val="ka-GE"/>
                    </w:rPr>
                    <w:t>60</w:t>
                  </w:r>
                </w:p>
              </w:tc>
            </w:tr>
          </w:tbl>
          <w:p w14:paraId="4AE2C392" w14:textId="77777777" w:rsidR="009D7832" w:rsidRPr="00431ADA" w:rsidRDefault="009D7832" w:rsidP="00431ADA">
            <w:pPr>
              <w:spacing w:after="0" w:line="240" w:lineRule="auto"/>
              <w:jc w:val="both"/>
              <w:textAlignment w:val="baseline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D430A" w:rsidRPr="00431ADA" w14:paraId="5CF09B28" w14:textId="77777777" w:rsidTr="00657560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13CEC7" w14:textId="77777777" w:rsidR="009D7832" w:rsidRPr="00431ADA" w:rsidRDefault="009D7832" w:rsidP="00431AD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431ADA" w14:paraId="372F2BF6" w14:textId="77777777" w:rsidTr="00F7012F">
        <w:trPr>
          <w:trHeight w:val="76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EBBBE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431ADA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42B54589" w14:textId="77777777" w:rsidR="00C955DF" w:rsidRPr="00431ADA" w:rsidRDefault="00C955DF" w:rsidP="00431ADA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14:paraId="3F39669F" w14:textId="77777777" w:rsidR="00C955DF" w:rsidRPr="00431ADA" w:rsidRDefault="00C955DF" w:rsidP="00431AD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შეფასების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ხვედრითი წილი შეადგენს ჯამურად 60 ქულას, რომელიც, თავის მხრივ, მოიცავს შემდეგი შეფასების ფორმებს:</w:t>
            </w:r>
          </w:p>
          <w:p w14:paraId="1822B10A" w14:textId="77777777" w:rsidR="00C955DF" w:rsidRPr="00431ADA" w:rsidRDefault="00C955DF" w:rsidP="00431ADA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0" w:firstLine="318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- </w:t>
            </w: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 უმეტეს 30 ქულა;</w:t>
            </w:r>
          </w:p>
          <w:p w14:paraId="05EE86DB" w14:textId="77777777" w:rsidR="00C955DF" w:rsidRPr="00431ADA" w:rsidRDefault="00C955DF" w:rsidP="00431ADA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18" w:firstLine="0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გამოცდა - არა ნაკლებ 30 ქულა.</w:t>
            </w:r>
          </w:p>
          <w:p w14:paraId="2AB83835" w14:textId="77777777" w:rsidR="00C955DF" w:rsidRPr="00431ADA" w:rsidRDefault="00C955DF" w:rsidP="00431ADA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- 40 ქულას.</w:t>
            </w:r>
          </w:p>
          <w:p w14:paraId="78510904" w14:textId="77777777" w:rsidR="00C955DF" w:rsidRPr="00431ADA" w:rsidRDefault="00C955DF" w:rsidP="00431ADA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20 ქულას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აქედან აქტივობის კომპონენტის შეფასება უნდა იყოს </w:t>
            </w: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 12 ქულისა.</w:t>
            </w:r>
          </w:p>
          <w:p w14:paraId="57D3CE65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შეფასების სისტემა ითვალისწინებს</w:t>
            </w:r>
            <w:r w:rsidRPr="00431ADA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  <w:p w14:paraId="73A1E0EA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ა</w:t>
            </w:r>
            <w:r w:rsidRPr="00431ADA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431ADA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ხუთი სახის დადებით შეფასებას</w:t>
            </w:r>
            <w:r w:rsidRPr="00431ADA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14:paraId="243E6440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(A)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ფრიადი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მაქსიმალური შეფასების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91-100 ქულა;</w:t>
            </w:r>
          </w:p>
          <w:p w14:paraId="0898ACD1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(B)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ძალიან კარგი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მაქსიმალური შეფასების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81-90 ქულა;</w:t>
            </w:r>
          </w:p>
          <w:p w14:paraId="642A7EED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(C)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კარგი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მაქსიმალური შეფასების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71-80 ქულა;</w:t>
            </w:r>
          </w:p>
          <w:p w14:paraId="4D54425B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(D)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დამაკმაყოფილებელი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მაქსიმალური შეფასების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61-70 ქულა;</w:t>
            </w:r>
          </w:p>
          <w:p w14:paraId="34828B5B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ე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(E)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საკმარისი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მაქსიმალური შეფასების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51-60 ქულა;</w:t>
            </w:r>
          </w:p>
          <w:p w14:paraId="0F28E3ED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ბ</w:t>
            </w:r>
            <w:r w:rsidRPr="00431ADA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431ADA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ორი სახის უარყოფით შეფასებას</w:t>
            </w:r>
            <w:r w:rsidRPr="00431ADA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14:paraId="2EBCA19D" w14:textId="0914C384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(FX)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ვერ ჩააბარა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–41-50 ქულა,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;</w:t>
            </w:r>
          </w:p>
          <w:p w14:paraId="1590C573" w14:textId="7C9D4324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(F)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ჩაიჭრა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–40 ქულა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 ნაკლები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</w:p>
          <w:p w14:paraId="6DF39634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 </w:t>
            </w:r>
            <w:r w:rsidRPr="00431ADA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34D64965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დასკვნით გამოცდაზე</w:t>
            </w: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სტუდენტის მიერ მიღებული მინიმალური ზღვარი განისაზღვრება </w:t>
            </w:r>
            <w:r w:rsidRPr="00431AD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16   ქულით.</w:t>
            </w:r>
          </w:p>
          <w:p w14:paraId="1BCA6EF3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14:paraId="400F3027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21B713C6" w14:textId="77777777" w:rsidR="00C955DF" w:rsidRPr="00431ADA" w:rsidRDefault="00C955DF" w:rsidP="00431ADA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lastRenderedPageBreak/>
              <w:t xml:space="preserve">0-50 ქულის მიღების შემთხვევაში, სტუდენტს უფორმდება შეფასება F-0 ქულა. </w:t>
            </w:r>
          </w:p>
          <w:p w14:paraId="07C72E1D" w14:textId="77777777" w:rsidR="00431ADA" w:rsidRPr="00431ADA" w:rsidRDefault="00431ADA" w:rsidP="00431ADA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განათლებისა დ ამეცნიერების მინისტრის</w:t>
            </w: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2007 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5 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იანვრის ბრძანება</w:t>
            </w: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№3, 2016 წლის 18 აგვისტოს №102/ნ, 2021 წლის 29 დეკემბრის  №105/ნ ბრძანებების შესაბამისად.</w:t>
            </w:r>
          </w:p>
          <w:p w14:paraId="32FB74BA" w14:textId="0431DBBA" w:rsidR="00AD0632" w:rsidRPr="00431ADA" w:rsidRDefault="00AD0632" w:rsidP="00431ADA">
            <w:pPr>
              <w:spacing w:after="0" w:line="240" w:lineRule="auto"/>
              <w:jc w:val="both"/>
              <w:rPr>
                <w:noProof/>
                <w:color w:val="000000"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შენიშვნა</w:t>
            </w:r>
            <w:r w:rsidRPr="00431ADA">
              <w:rPr>
                <w:b/>
                <w:noProof/>
                <w:color w:val="000000"/>
                <w:sz w:val="20"/>
                <w:szCs w:val="20"/>
                <w:lang w:val="ka-GE"/>
              </w:rPr>
              <w:t>:</w:t>
            </w:r>
            <w:r w:rsidRPr="00431ADA">
              <w:rPr>
                <w:noProof/>
                <w:color w:val="000000"/>
                <w:sz w:val="20"/>
                <w:szCs w:val="20"/>
                <w:lang w:val="ka-GE"/>
              </w:rPr>
              <w:t>.</w:t>
            </w:r>
          </w:p>
          <w:p w14:paraId="00BDA65F" w14:textId="77777777" w:rsidR="00123F2F" w:rsidRPr="00431ADA" w:rsidRDefault="00123F2F" w:rsidP="00431A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პროგრამის თითოეული შედეგის სამიზნე ნიშნულად განისაზღვრა სტუდენტთა საერთო რაოდენობის 60%-ის მიერ სხვადასხვა აქტივობებით გათვალისიწნებული მაქსიმალური ქულის 60%-ის მიღწევა. სამიზნე ნიშნულებთან დადარება მოხდება 2 წლიან დინამიკაზე  მონიტორინგის შედეგად;</w:t>
            </w:r>
          </w:p>
          <w:p w14:paraId="06A42F9B" w14:textId="77777777" w:rsidR="00123F2F" w:rsidRPr="00431ADA" w:rsidRDefault="00123F2F" w:rsidP="00431A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პროგრამის სასწავლო კურსის სწავლის შედეგების გაზომვა </w:t>
            </w: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 აკადემიურ წელიწადში ერთხელ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აღნიშნული სასწავლო კურსის ხელახლა განხორციელებამდე არაუგვიანეს 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1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თვისა და  დადარდებაპროცენტულ მაჩვენებლებს;</w:t>
            </w:r>
          </w:p>
          <w:p w14:paraId="63C2FD69" w14:textId="77777777" w:rsidR="00123F2F" w:rsidRPr="00431ADA" w:rsidRDefault="00123F2F" w:rsidP="00431A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პროგრამის თითოეული სწავლის შედეგის გაზომვა </w:t>
            </w: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 პროგრამაზე თანდართული კურიკულუმის რუკის მიხედვით იმ სემესტრის ბოლოს, სადაც დადგა აღნიშნული სწავლის შედეგი</w:t>
            </w:r>
            <w:r w:rsidRPr="00431ADA">
              <w:rPr>
                <w:noProof/>
                <w:sz w:val="20"/>
                <w:szCs w:val="20"/>
                <w:lang w:val="ka-GE"/>
              </w:rPr>
              <w:t>;</w:t>
            </w:r>
          </w:p>
          <w:p w14:paraId="43D400CA" w14:textId="4630F21F" w:rsidR="009D7832" w:rsidRPr="00431ADA" w:rsidRDefault="00123F2F" w:rsidP="00431ADA">
            <w:pPr>
              <w:spacing w:after="0" w:line="240" w:lineRule="auto"/>
              <w:ind w:right="45" w:firstLine="420"/>
              <w:jc w:val="both"/>
              <w:textAlignment w:val="baseline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პროგრამის სწავლის შედეგების გადახედვა და მონიტორინგი </w:t>
            </w: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მოხდება 2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წლიან დინამიკაზე დაკვირვებით. დინამიკაში დაკვირვების შემდეგ თუ გამოვლინდა რეგრესი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(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სამიზნე ნიშნულებთან დაკვირვებისას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) </w:t>
            </w:r>
            <w:r w:rsidRPr="00431ADA">
              <w:rPr>
                <w:rFonts w:ascii="Sylfaen" w:hAnsi="Sylfaen"/>
                <w:noProof/>
                <w:sz w:val="20"/>
                <w:szCs w:val="20"/>
                <w:lang w:val="ka-GE"/>
              </w:rPr>
              <w:t>მო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ხდება სწავლის შედეგების და მიღწევის გზების გადახედვა და შესაბამისად პროგრამის მოდიფიცირება არსებული რეგულაციების გათვალისწინებით</w:t>
            </w:r>
            <w:r w:rsidRPr="00431ADA">
              <w:rPr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FD430A" w:rsidRPr="00431ADA" w14:paraId="172A770B" w14:textId="77777777" w:rsidTr="00657560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B64965" w14:textId="77777777" w:rsidR="005B60B3" w:rsidRPr="00431ADA" w:rsidRDefault="009D7832" w:rsidP="00431AD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  <w:r w:rsidR="005B60B3"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431ADA" w14:paraId="01592903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A22F" w14:textId="03879BF4" w:rsidR="002357B9" w:rsidRPr="00431ADA" w:rsidRDefault="005932DC" w:rsidP="00431ADA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სწავლის პროცესში მიღებული ცოდნა და უნარ–ჩვევები </w:t>
            </w:r>
            <w:r w:rsidR="002357B9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დასაქმების </w:t>
            </w: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ფართო  </w:t>
            </w:r>
            <w:r w:rsidR="002357B9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სპექტრს</w:t>
            </w: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="002357B9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თავაზობს </w:t>
            </w:r>
            <w:r w:rsidR="00597FD8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დამატებითი  minor პრიგრამის კურს დამთავრებულებს.</w:t>
            </w:r>
          </w:p>
          <w:p w14:paraId="65CBBFF6" w14:textId="3533AEB3" w:rsidR="005932DC" w:rsidRPr="00431ADA" w:rsidRDefault="002357B9" w:rsidP="00431A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  </w:t>
            </w:r>
            <w:r w:rsidR="00123F2F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ქიმიის </w:t>
            </w:r>
            <w:r w:rsidR="00597FD8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minor </w:t>
            </w:r>
            <w:r w:rsidR="00123F2F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პროგრამის კურსდამთავრებულები </w:t>
            </w:r>
            <w:r w:rsidR="005932DC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შეიძლება დასაქმდნენ </w:t>
            </w:r>
            <w:r w:rsidR="005932D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შესაბამისი პროფილის სასწავლო-კვლევით დაწესებულებებში, ქიმიური  საწარმოებსა და ფირმებში</w:t>
            </w:r>
            <w:r w:rsidR="005932DC" w:rsidRPr="00431ADA">
              <w:rPr>
                <w:rFonts w:ascii="Sylfaen" w:eastAsia="Times New Roman" w:hAnsi="Sylfaen" w:cs="Times New Roman"/>
                <w:b/>
                <w:bCs/>
                <w:noProof/>
                <w:sz w:val="20"/>
                <w:szCs w:val="20"/>
                <w:lang w:val="ka-GE"/>
              </w:rPr>
              <w:t xml:space="preserve">, </w:t>
            </w:r>
            <w:r w:rsidR="005932D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ქიმიურ-ფარმაცევტული , პესტიციდების წარმოებისა და გამოყენების სფეროებ</w:t>
            </w:r>
            <w:r w:rsidR="006E65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ის</w:t>
            </w:r>
            <w:r w:rsidR="005932D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, კვებისა და მსუბუქი მრეწველობის</w:t>
            </w:r>
            <w:r w:rsidR="006E65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,</w:t>
            </w:r>
            <w:r w:rsidR="005932D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საბაჟო და გარემოს დაცვის</w:t>
            </w:r>
            <w:r w:rsidR="006E65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,</w:t>
            </w:r>
            <w:r w:rsidR="005932D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თავდაცვის</w:t>
            </w:r>
            <w:r w:rsidR="00F81D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,</w:t>
            </w:r>
            <w:r w:rsidR="00B5452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F81D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</w:t>
            </w:r>
            <w:r w:rsidR="005932D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ათბობ-ენერგეტიკული</w:t>
            </w:r>
            <w:r w:rsidR="006E65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,</w:t>
            </w:r>
            <w:r w:rsidR="00F81D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 მეტალურგიულ </w:t>
            </w:r>
            <w:r w:rsidR="006E65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და </w:t>
            </w:r>
            <w:r w:rsidR="00F81D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ნავთობქიმიურ </w:t>
            </w:r>
            <w:r w:rsidR="005932D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საწარმოებ</w:t>
            </w:r>
            <w:r w:rsidR="006E65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ის</w:t>
            </w:r>
            <w:r w:rsidR="005932D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 </w:t>
            </w:r>
            <w:r w:rsidR="006E65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ლაბორატორიებში,</w:t>
            </w:r>
          </w:p>
          <w:p w14:paraId="392FFF12" w14:textId="77777777" w:rsidR="009D7832" w:rsidRPr="00431ADA" w:rsidRDefault="009D7832" w:rsidP="00431ADA">
            <w:pPr>
              <w:spacing w:after="0" w:line="240" w:lineRule="auto"/>
              <w:jc w:val="both"/>
              <w:textAlignment w:val="baseline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D430A" w:rsidRPr="00431ADA" w14:paraId="5DD33454" w14:textId="77777777" w:rsidTr="00657560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8718E7" w14:textId="77777777" w:rsidR="009D7832" w:rsidRPr="00431ADA" w:rsidRDefault="009D7832" w:rsidP="00431AD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სწავლისათვის აუცილებელი </w:t>
            </w:r>
            <w:r w:rsidR="005811E4"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დამხმარე </w:t>
            </w:r>
            <w:r w:rsidR="005811E4"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პირობები/რესურსები</w:t>
            </w:r>
          </w:p>
        </w:tc>
      </w:tr>
      <w:tr w:rsidR="00FD430A" w:rsidRPr="00431ADA" w14:paraId="79ED454C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B5ABA" w14:textId="555B1C47" w:rsidR="00503F38" w:rsidRPr="00431ADA" w:rsidRDefault="00A36A4E" w:rsidP="00431ADA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დამატებითი </w:t>
            </w: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minor </w:t>
            </w: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პროგრამა </w:t>
            </w:r>
            <w:r w:rsidR="00AD0632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ხორციელდება აკაკი წერეთლის სახელმწიფო უნივერსიტეტის ზუსტ და საბუნებისმ</w:t>
            </w:r>
            <w:r w:rsidR="005811E4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ეტყველო მეცნიერებათა ფაკულტეტის ქიმიის </w:t>
            </w:r>
            <w:r w:rsidR="00AD0632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დეპარტამენტის ბაზაზე.</w:t>
            </w:r>
            <w:r w:rsidR="005811E4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2F7C85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5811E4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დეპატრამენტი </w:t>
            </w:r>
            <w:r w:rsidR="00AD0632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შედგება</w:t>
            </w:r>
            <w:r w:rsidR="005811E4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AD0632" w:rsidRPr="00431ADA"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/>
              </w:rPr>
              <w:t> </w:t>
            </w:r>
            <w:r w:rsidR="009A237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1</w:t>
            </w:r>
            <w:r w:rsidR="006E65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1</w:t>
            </w:r>
            <w:r w:rsidR="009A237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AD0632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წევრისაგან:</w:t>
            </w:r>
            <w:r w:rsidR="005811E4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1</w:t>
            </w:r>
            <w:r w:rsidR="006E65AF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1</w:t>
            </w:r>
            <w:r w:rsidR="009A237C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AD0632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ასოც</w:t>
            </w:r>
            <w:r w:rsidR="005811E4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ირებული </w:t>
            </w:r>
            <w:r w:rsidR="00AD0632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პროფესორი</w:t>
            </w:r>
            <w:r w:rsidR="00C51402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.</w:t>
            </w:r>
          </w:p>
          <w:p w14:paraId="1F244DBD" w14:textId="77777777" w:rsidR="00D319A3" w:rsidRPr="00431ADA" w:rsidRDefault="005811E4" w:rsidP="00431ADA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საბაკალავრო პროგრამის განხორციელებისათვის მატერიალურ ტექნიკური ბაზა დამაკმაყოფილებელია.</w:t>
            </w:r>
            <w:r w:rsidR="00D319A3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4EC72007" w14:textId="77777777" w:rsidR="00D319A3" w:rsidRPr="00431ADA" w:rsidRDefault="00D319A3" w:rsidP="00431A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ცალკეული კურსის გავლისას გამოყენებული იქნება </w:t>
            </w:r>
            <w:r w:rsidR="00B12A85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აწსუს</w:t>
            </w: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მე–5 კორპუსში არსებული ქიმიის დეპარტამენტის სასწავლო–სამეცნიერო ლაბორატორიები. </w:t>
            </w: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კერძოდ, </w:t>
            </w:r>
            <w:r w:rsidR="005811E4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ფუნქციონირებს ზოგადი და არაორგანული ქიმიის (აუდიტ.#5208), ანალიზური ქიმიის (აუდიტ.#5202), ფიზიკური და კოლოიდური ქიმიის  (აუდიტ.#5205), ორგანული და ბიოლოგიური ქიმიის</w:t>
            </w: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(აუდიტ.#5207), </w:t>
            </w:r>
            <w:r w:rsidR="005811E4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და ქიმიის სამეცნიერო–კვლევითი </w:t>
            </w: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(აუდიტ.#5203), </w:t>
            </w:r>
            <w:r w:rsidR="005811E4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ლაბორატორიები</w:t>
            </w: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.</w:t>
            </w:r>
            <w:r w:rsidR="00F56937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 ასევე ვიყენებთ აწსუს მე–8 კორპუსში განლაგებულ არაორგანული ქიმიის ( აუდიტ. # 8110  და  # 8112 ), ზოგადი ქიმიის (აუდიტ. # 8012 ) და ფიზიკო - ქიმიური კვლევის ექსპერიმენტულ ( # აუდიტ. 8124</w:t>
            </w:r>
            <w:r w:rsidR="00F56937"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 xml:space="preserve"> ) ლაბორატორიებს.</w:t>
            </w:r>
          </w:p>
          <w:p w14:paraId="48249A9D" w14:textId="77777777" w:rsidR="005811E4" w:rsidRPr="00431ADA" w:rsidRDefault="00D319A3" w:rsidP="00431A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ქიმიის დეპარტამენტის ქიმიური რეაქტივების საცავი.</w:t>
            </w: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  <w:t> </w:t>
            </w:r>
          </w:p>
          <w:p w14:paraId="3F4C4C5B" w14:textId="77777777" w:rsidR="00D319A3" w:rsidRPr="00431ADA" w:rsidRDefault="00D319A3" w:rsidP="00431A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აწსუ –ს ბიბლიოთეკა სადაც სტუდენტები უზრუნველყოფილი არიან სათანადო ლიტერატურით.</w:t>
            </w:r>
          </w:p>
          <w:p w14:paraId="6D1A184C" w14:textId="77777777" w:rsidR="00535F8D" w:rsidRPr="00431ADA" w:rsidRDefault="00D319A3" w:rsidP="00431A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ზუსტ და საბუნებისმეტყველო მეცნიერებათა ფაკულტეტის </w:t>
            </w:r>
            <w:r w:rsidR="005811E4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 xml:space="preserve">კომპიუტერული ცენტრი </w:t>
            </w:r>
            <w:r w:rsidR="00B12A85" w:rsidRPr="00431ADA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.</w:t>
            </w:r>
          </w:p>
          <w:p w14:paraId="1D230243" w14:textId="7AF54CD5" w:rsidR="00D319A3" w:rsidRPr="00431ADA" w:rsidRDefault="00D319A3" w:rsidP="00431ADA">
            <w:pPr>
              <w:spacing w:after="0" w:line="240" w:lineRule="auto"/>
              <w:ind w:left="360"/>
              <w:jc w:val="both"/>
              <w:textAlignment w:val="baseline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ქიმიის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დეპარტამენტის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ლაბორატორიები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აღჭურვილია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ლაბორატორიული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ტექნიკით.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ესენია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: </w:t>
            </w:r>
            <w:r w:rsidR="00C7197F"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ამწოვი კარადები, მინის  (საერთო  და სპეციალური დანიშნულების), ფაიფურისა  და კვარცის ჭურჭელი. მეტალის დამხმარე ხელსაწყოები.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ფოტოელე</w:t>
            </w:r>
            <w:r w:rsidR="00C700A9"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ტროკოლორიმეტრი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(KФЛ-2-УХЛ 4,2),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ბიოქიმიური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ნახევრად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ავტომატური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ქიმიური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ანალიზატორი</w:t>
            </w:r>
            <w:r w:rsidR="00BE1BCD"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, </w:t>
            </w:r>
            <w:r w:rsidR="00264BAB"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სპექტროფოტომეტრი</w:t>
            </w:r>
            <w:r w:rsidR="00B92783"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, </w:t>
            </w:r>
            <w:r w:rsidR="00C700A9"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PH</w:t>
            </w:r>
            <w:r w:rsidR="006B5C22"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</w:t>
            </w:r>
            <w:r w:rsidR="00B92783"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მეტრი და ნიტრატომეტრი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. </w:t>
            </w:r>
          </w:p>
          <w:p w14:paraId="631A987C" w14:textId="77777777" w:rsidR="00D319A3" w:rsidRPr="00431ADA" w:rsidRDefault="00D319A3" w:rsidP="00431ADA">
            <w:pPr>
              <w:spacing w:after="0" w:line="240" w:lineRule="auto"/>
              <w:ind w:left="360"/>
              <w:jc w:val="both"/>
              <w:textAlignment w:val="baseline"/>
              <w:rPr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განახლდა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საინფორმაციო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საკომუნიკაციო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საპრეზენტაციო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აღჭურვილობა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.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შეძენილია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კომპიუტერები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პრინტერები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პროექტორები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.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დეპარტამენტი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აღჭურვილია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ლოკალური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ქსელით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რომელიც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უზრუნველყოფილია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31AD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ინტერნეტით</w:t>
            </w:r>
            <w:r w:rsidRPr="00431ADA">
              <w:rPr>
                <w:noProof/>
                <w:sz w:val="20"/>
                <w:szCs w:val="20"/>
                <w:lang w:val="ka-GE"/>
              </w:rPr>
              <w:t xml:space="preserve">. </w:t>
            </w:r>
          </w:p>
          <w:p w14:paraId="0E58A637" w14:textId="77777777" w:rsidR="00D319A3" w:rsidRPr="00431ADA" w:rsidRDefault="00D319A3" w:rsidP="00431ADA">
            <w:pPr>
              <w:spacing w:after="0" w:line="240" w:lineRule="auto"/>
              <w:ind w:left="360"/>
              <w:jc w:val="both"/>
              <w:textAlignment w:val="baseline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D430A" w:rsidRPr="00431ADA" w14:paraId="73B40435" w14:textId="77777777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14:paraId="1E887317" w14:textId="77777777" w:rsidR="009D7832" w:rsidRPr="00431ADA" w:rsidRDefault="009D7832" w:rsidP="00431AD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u w:val="single"/>
                <w:lang w:val="ka-GE"/>
              </w:rPr>
            </w:pPr>
          </w:p>
        </w:tc>
      </w:tr>
    </w:tbl>
    <w:p w14:paraId="5C1250B3" w14:textId="77777777" w:rsidR="00B2525E" w:rsidRPr="00431ADA" w:rsidRDefault="00B2525E" w:rsidP="00431ADA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</w:pPr>
    </w:p>
    <w:p w14:paraId="45AECF26" w14:textId="77777777" w:rsidR="007A67AA" w:rsidRPr="00431ADA" w:rsidRDefault="007A67AA" w:rsidP="00431ADA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</w:pPr>
    </w:p>
    <w:p w14:paraId="5E4DC2C3" w14:textId="77777777" w:rsidR="007A67AA" w:rsidRPr="00431ADA" w:rsidRDefault="007A67AA" w:rsidP="00431ADA">
      <w:pPr>
        <w:spacing w:after="0" w:line="240" w:lineRule="auto"/>
        <w:jc w:val="right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</w:p>
    <w:p w14:paraId="54EA78AC" w14:textId="77777777" w:rsidR="000B12F6" w:rsidRPr="00431ADA" w:rsidRDefault="000B12F6" w:rsidP="00431ADA">
      <w:pPr>
        <w:spacing w:after="0" w:line="240" w:lineRule="auto"/>
        <w:jc w:val="right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</w:p>
    <w:p w14:paraId="42244D87" w14:textId="77777777" w:rsidR="000B12F6" w:rsidRPr="00431ADA" w:rsidRDefault="000B12F6" w:rsidP="00431ADA">
      <w:pPr>
        <w:spacing w:after="0" w:line="240" w:lineRule="auto"/>
        <w:jc w:val="right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</w:p>
    <w:p w14:paraId="05BF153B" w14:textId="77777777" w:rsidR="007A67AA" w:rsidRPr="00431ADA" w:rsidRDefault="007A67AA" w:rsidP="00431ADA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  <w:sectPr w:rsidR="007A67AA" w:rsidRPr="00431ADA" w:rsidSect="00431ADA">
          <w:footerReference w:type="even" r:id="rId9"/>
          <w:footerReference w:type="default" r:id="rId10"/>
          <w:type w:val="nextColumn"/>
          <w:pgSz w:w="12240" w:h="15840"/>
          <w:pgMar w:top="567" w:right="567" w:bottom="567" w:left="567" w:header="720" w:footer="720" w:gutter="0"/>
          <w:cols w:space="720"/>
        </w:sectPr>
      </w:pPr>
    </w:p>
    <w:p w14:paraId="40A6F8A3" w14:textId="77777777" w:rsidR="003C1A1F" w:rsidRPr="00431ADA" w:rsidRDefault="003C1A1F" w:rsidP="00431ADA">
      <w:pPr>
        <w:spacing w:after="0" w:line="240" w:lineRule="auto"/>
        <w:jc w:val="right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431ADA">
        <w:rPr>
          <w:rFonts w:ascii="Sylfaen" w:eastAsia="Times New Roman" w:hAnsi="Sylfae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0" locked="0" layoutInCell="1" allowOverlap="1" wp14:anchorId="5BA16C28" wp14:editId="5ABF103F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7610475" cy="6953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9D51B7" w14:textId="634DDCBE" w:rsidR="003C1A1F" w:rsidRPr="00431ADA" w:rsidRDefault="003C1A1F" w:rsidP="00431ADA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431ADA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სასწავლო გეგმა</w:t>
      </w:r>
      <w:r w:rsidR="00431ADA">
        <w:rPr>
          <w:rFonts w:ascii="Sylfaen" w:eastAsia="Times New Roman" w:hAnsi="Sylfaen" w:cs="Sylfaen"/>
          <w:b/>
          <w:noProof/>
          <w:sz w:val="20"/>
          <w:szCs w:val="20"/>
          <w:lang w:eastAsia="ru-RU"/>
        </w:rPr>
        <w:t xml:space="preserve"> </w:t>
      </w:r>
      <w:r w:rsidRPr="00431ADA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2022-2023  წ.წ</w:t>
      </w:r>
    </w:p>
    <w:p w14:paraId="0E54C4C8" w14:textId="77777777" w:rsidR="003C1A1F" w:rsidRPr="00431ADA" w:rsidRDefault="003C1A1F" w:rsidP="00431ADA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431ADA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პროგრამის დასახელება: საბაკალავრო Minor პროგრამა - ქიმია</w:t>
      </w:r>
    </w:p>
    <w:p w14:paraId="650DE453" w14:textId="77777777" w:rsidR="003C1A1F" w:rsidRPr="00431ADA" w:rsidRDefault="003C1A1F" w:rsidP="00431ADA">
      <w:pPr>
        <w:tabs>
          <w:tab w:val="center" w:pos="6786"/>
          <w:tab w:val="left" w:pos="9555"/>
        </w:tabs>
        <w:spacing w:after="0" w:line="240" w:lineRule="auto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3809"/>
        <w:gridCol w:w="724"/>
        <w:gridCol w:w="507"/>
        <w:gridCol w:w="781"/>
        <w:gridCol w:w="660"/>
        <w:gridCol w:w="788"/>
        <w:gridCol w:w="651"/>
        <w:gridCol w:w="1260"/>
        <w:gridCol w:w="360"/>
        <w:gridCol w:w="540"/>
        <w:gridCol w:w="450"/>
        <w:gridCol w:w="450"/>
        <w:gridCol w:w="450"/>
        <w:gridCol w:w="450"/>
        <w:gridCol w:w="540"/>
        <w:gridCol w:w="630"/>
        <w:gridCol w:w="753"/>
      </w:tblGrid>
      <w:tr w:rsidR="003C1A1F" w:rsidRPr="00431ADA" w14:paraId="5CE2BA32" w14:textId="77777777" w:rsidTr="00B647B9">
        <w:trPr>
          <w:trHeight w:val="274"/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0FD42C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EF7CB72" w14:textId="77777777" w:rsidR="003C1A1F" w:rsidRPr="00431ADA" w:rsidRDefault="003C1A1F" w:rsidP="00431ADA">
            <w:pPr>
              <w:spacing w:after="0" w:line="240" w:lineRule="auto"/>
              <w:ind w:left="-283" w:right="-22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344B79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0000"/>
            <w:vAlign w:val="center"/>
          </w:tcPr>
          <w:p w14:paraId="6E45151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</w:tcBorders>
            <w:shd w:val="clear" w:color="auto" w:fill="C00000"/>
            <w:vAlign w:val="center"/>
          </w:tcPr>
          <w:p w14:paraId="6B480F3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67D945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ლ/პ/ლ/ჯგ</w:t>
            </w:r>
          </w:p>
        </w:tc>
        <w:tc>
          <w:tcPr>
            <w:tcW w:w="387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AB1A1B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textDirection w:val="btLr"/>
          </w:tcPr>
          <w:p w14:paraId="6B95622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3C1A1F" w:rsidRPr="00431ADA" w14:paraId="4D20F50C" w14:textId="77777777" w:rsidTr="00B647B9">
        <w:trPr>
          <w:trHeight w:val="135"/>
          <w:jc w:val="center"/>
        </w:trPr>
        <w:tc>
          <w:tcPr>
            <w:tcW w:w="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10DF62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38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FA8A51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14:paraId="53D206F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3B6161F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 w:val="restart"/>
            <w:shd w:val="clear" w:color="auto" w:fill="C00000"/>
          </w:tcPr>
          <w:p w14:paraId="21F8466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48" w:type="dxa"/>
            <w:gridSpan w:val="2"/>
            <w:shd w:val="clear" w:color="auto" w:fill="C00000"/>
          </w:tcPr>
          <w:p w14:paraId="4CB1B90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51" w:type="dxa"/>
            <w:vMerge w:val="restart"/>
            <w:shd w:val="clear" w:color="auto" w:fill="C00000"/>
          </w:tcPr>
          <w:p w14:paraId="59152D8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1C81171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360" w:type="dxa"/>
            <w:vMerge w:val="restart"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1F5EE4C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</w:t>
            </w:r>
          </w:p>
        </w:tc>
        <w:tc>
          <w:tcPr>
            <w:tcW w:w="540" w:type="dxa"/>
            <w:vMerge w:val="restart"/>
            <w:shd w:val="clear" w:color="auto" w:fill="C00000"/>
            <w:vAlign w:val="center"/>
          </w:tcPr>
          <w:p w14:paraId="167AAA7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II</w:t>
            </w:r>
          </w:p>
        </w:tc>
        <w:tc>
          <w:tcPr>
            <w:tcW w:w="450" w:type="dxa"/>
            <w:vMerge w:val="restart"/>
            <w:shd w:val="clear" w:color="auto" w:fill="C00000"/>
            <w:vAlign w:val="center"/>
          </w:tcPr>
          <w:p w14:paraId="7AE95AD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III</w:t>
            </w:r>
          </w:p>
        </w:tc>
        <w:tc>
          <w:tcPr>
            <w:tcW w:w="450" w:type="dxa"/>
            <w:vMerge w:val="restart"/>
            <w:shd w:val="clear" w:color="auto" w:fill="C00000"/>
            <w:vAlign w:val="center"/>
          </w:tcPr>
          <w:p w14:paraId="654F916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IV</w:t>
            </w:r>
          </w:p>
        </w:tc>
        <w:tc>
          <w:tcPr>
            <w:tcW w:w="450" w:type="dxa"/>
            <w:vMerge w:val="restart"/>
            <w:shd w:val="clear" w:color="auto" w:fill="C00000"/>
            <w:vAlign w:val="center"/>
          </w:tcPr>
          <w:p w14:paraId="3889CA0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V</w:t>
            </w:r>
          </w:p>
        </w:tc>
        <w:tc>
          <w:tcPr>
            <w:tcW w:w="450" w:type="dxa"/>
            <w:vMerge w:val="restart"/>
            <w:shd w:val="clear" w:color="auto" w:fill="C00000"/>
            <w:vAlign w:val="center"/>
          </w:tcPr>
          <w:p w14:paraId="19191FF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VI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73EB953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VII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FC7C34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VIII</w:t>
            </w:r>
          </w:p>
        </w:tc>
        <w:tc>
          <w:tcPr>
            <w:tcW w:w="7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14:paraId="1D9A8D0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3C1A1F" w:rsidRPr="00431ADA" w14:paraId="2FA120DD" w14:textId="77777777" w:rsidTr="00B647B9">
        <w:trPr>
          <w:cantSplit/>
          <w:trHeight w:val="1560"/>
          <w:jc w:val="center"/>
        </w:trPr>
        <w:tc>
          <w:tcPr>
            <w:tcW w:w="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465AD5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3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BB7D69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66B065F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1844083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  <w:shd w:val="clear" w:color="auto" w:fill="C00000"/>
          </w:tcPr>
          <w:p w14:paraId="04FC509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14:paraId="5EACA18C" w14:textId="77777777" w:rsidR="003C1A1F" w:rsidRPr="00431ADA" w:rsidRDefault="003C1A1F" w:rsidP="00431ADA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14:paraId="1FBE58E5" w14:textId="77777777" w:rsidR="003C1A1F" w:rsidRPr="00431ADA" w:rsidRDefault="003C1A1F" w:rsidP="00431ADA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51" w:type="dxa"/>
            <w:vMerge/>
            <w:tcBorders>
              <w:bottom w:val="double" w:sz="4" w:space="0" w:color="auto"/>
            </w:tcBorders>
            <w:shd w:val="clear" w:color="auto" w:fill="C00000"/>
          </w:tcPr>
          <w:p w14:paraId="6465054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2888EE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1BDFBF9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71C4CA4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259022B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259181B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5A29B67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0D492E6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84CF1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10AC59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554ABF7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3C1A1F" w:rsidRPr="00431ADA" w14:paraId="1D97E142" w14:textId="77777777" w:rsidTr="00B647B9">
        <w:trPr>
          <w:trHeight w:val="59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3767AD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352E7D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E95E2C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7728B4F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6FB2868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2EE0929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7864435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3978E31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DAD761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3299720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43B77C2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7123FF8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0D0E997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04221F5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2C19B79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71A49A9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2CB1C9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514E4B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18</w:t>
            </w:r>
          </w:p>
        </w:tc>
      </w:tr>
      <w:tr w:rsidR="003C1A1F" w:rsidRPr="00431ADA" w14:paraId="0958F4F9" w14:textId="77777777" w:rsidTr="00B647B9">
        <w:trPr>
          <w:trHeight w:val="150"/>
          <w:jc w:val="center"/>
        </w:trPr>
        <w:tc>
          <w:tcPr>
            <w:tcW w:w="14647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6A9561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ძირითადი </w:t>
            </w:r>
            <w:r w:rsidRPr="00431ADA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shd w:val="clear" w:color="auto" w:fill="C00000"/>
                <w:lang w:val="ka-GE" w:eastAsia="ru-RU"/>
              </w:rPr>
              <w:t>სწავლის სფეროს შინაარსის შესაბამისი  სავალდებულო სასწავლო კურსები</w:t>
            </w:r>
            <w:r w:rsidRPr="00431ADA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</w:p>
        </w:tc>
      </w:tr>
      <w:tr w:rsidR="003C1A1F" w:rsidRPr="00431ADA" w14:paraId="5D3FE719" w14:textId="77777777" w:rsidTr="00B110AF">
        <w:trPr>
          <w:trHeight w:val="138"/>
          <w:jc w:val="center"/>
        </w:trPr>
        <w:tc>
          <w:tcPr>
            <w:tcW w:w="8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BA998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38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5A16653" w14:textId="77777777" w:rsidR="003C1A1F" w:rsidRPr="00431ADA" w:rsidRDefault="003C1A1F" w:rsidP="00431AD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ზოგადი და არაორგანული ქიმია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BDF6F8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55C6146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09EAD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832D1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66D12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71DB2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F0F37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8B8A14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0EF4A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DAEA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B1DE4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AA6BE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F9F8F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D0441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D0061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74863F8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highlight w:val="lightGray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highlight w:val="lightGray"/>
                <w:lang w:val="ka-GE" w:eastAsia="ru-RU"/>
              </w:rPr>
              <w:t>-</w:t>
            </w:r>
          </w:p>
        </w:tc>
      </w:tr>
      <w:tr w:rsidR="003C1A1F" w:rsidRPr="00431ADA" w14:paraId="54A93367" w14:textId="77777777" w:rsidTr="00B110AF">
        <w:trPr>
          <w:trHeight w:val="291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9187D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25143FAF" w14:textId="77777777" w:rsidR="003C1A1F" w:rsidRPr="00431ADA" w:rsidRDefault="003C1A1F" w:rsidP="00431AD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ანალიზური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</w:tcPr>
          <w:p w14:paraId="14DBDFA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521F397E" w14:textId="77777777" w:rsidR="003C1A1F" w:rsidRPr="00431ADA" w:rsidRDefault="003C1A1F" w:rsidP="00431AD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781" w:type="dxa"/>
            <w:vAlign w:val="center"/>
          </w:tcPr>
          <w:p w14:paraId="12ED895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60" w:type="dxa"/>
            <w:vAlign w:val="center"/>
          </w:tcPr>
          <w:p w14:paraId="3DBA9E0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788" w:type="dxa"/>
            <w:vAlign w:val="center"/>
          </w:tcPr>
          <w:p w14:paraId="3B4D611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14:paraId="2291799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1F209A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7D68C17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36D34A8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62DFC5F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3DBB285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0" w:type="dxa"/>
            <w:vAlign w:val="center"/>
          </w:tcPr>
          <w:p w14:paraId="5006881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25A08E7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1B861B1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14:paraId="02CADDA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A56F3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</w:tr>
      <w:tr w:rsidR="003C1A1F" w:rsidRPr="00431ADA" w14:paraId="68366817" w14:textId="77777777" w:rsidTr="00B110AF">
        <w:trPr>
          <w:trHeight w:val="291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25E8C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1B5F3B5D" w14:textId="77777777" w:rsidR="003C1A1F" w:rsidRPr="00431ADA" w:rsidRDefault="003C1A1F" w:rsidP="00431AD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ორგანული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</w:tcPr>
          <w:p w14:paraId="2F750D0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38812F1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781" w:type="dxa"/>
            <w:vAlign w:val="center"/>
          </w:tcPr>
          <w:p w14:paraId="4EF7662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60" w:type="dxa"/>
            <w:vAlign w:val="center"/>
          </w:tcPr>
          <w:p w14:paraId="041600B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788" w:type="dxa"/>
            <w:vAlign w:val="center"/>
          </w:tcPr>
          <w:p w14:paraId="5B26489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14:paraId="66BAC59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63AB5F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3564114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5AF7F2B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75271E1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78BB0AE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3A9D83E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0" w:type="dxa"/>
            <w:vAlign w:val="center"/>
          </w:tcPr>
          <w:p w14:paraId="47D9FBE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10A09AB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14:paraId="7C5D20B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14:paraId="1BBE224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</w:tr>
      <w:tr w:rsidR="003C1A1F" w:rsidRPr="00431ADA" w14:paraId="1B74E993" w14:textId="77777777" w:rsidTr="00B110AF">
        <w:trPr>
          <w:trHeight w:val="91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443A3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3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78F244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ფიზიკური და კოლოიდური ქიმია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F308B3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A1876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14:paraId="55D3719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14:paraId="2BB9E0D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14:paraId="14F42F7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tcBorders>
              <w:top w:val="double" w:sz="4" w:space="0" w:color="auto"/>
            </w:tcBorders>
            <w:vAlign w:val="center"/>
          </w:tcPr>
          <w:p w14:paraId="76CCBB8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42C35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4DD64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10220F3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05ADF43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7D7EAFE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002F2D8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2CF24A3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6616065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FDD7B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4AB7A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</w:tr>
      <w:tr w:rsidR="003C1A1F" w:rsidRPr="00431ADA" w14:paraId="553DA0A4" w14:textId="77777777" w:rsidTr="00B647B9">
        <w:trPr>
          <w:trHeight w:val="349"/>
          <w:jc w:val="center"/>
        </w:trPr>
        <w:tc>
          <w:tcPr>
            <w:tcW w:w="14647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6F3166B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Calibri" w:eastAsia="Calibri" w:hAnsi="Calibri" w:cs="Times New Roman"/>
                <w:b/>
                <w:i/>
                <w:iCs/>
                <w:noProof/>
                <w:sz w:val="20"/>
                <w:szCs w:val="20"/>
                <w:lang w:val="ka-GE"/>
              </w:rPr>
            </w:pPr>
            <w:r w:rsidRPr="00431ADA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  არჩევითი  სასწავლო კურსები</w:t>
            </w:r>
          </w:p>
        </w:tc>
      </w:tr>
      <w:tr w:rsidR="003C1A1F" w:rsidRPr="00431ADA" w14:paraId="7647B70D" w14:textId="77777777" w:rsidTr="00B110AF">
        <w:trPr>
          <w:trHeight w:val="91"/>
          <w:jc w:val="center"/>
        </w:trPr>
        <w:tc>
          <w:tcPr>
            <w:tcW w:w="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4895A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3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24551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კვლევის ფიზიკური და ქიმიური მეთოდები</w:t>
            </w:r>
          </w:p>
        </w:tc>
        <w:tc>
          <w:tcPr>
            <w:tcW w:w="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4A14DD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0F0CF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14:paraId="08725AA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14:paraId="260C34C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14:paraId="3D5158B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14:paraId="74C419B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1BBA7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CDC64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1D3CFB4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47805F9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22E0997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1D6C7A7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65A31A5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D3595A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  <w:p w14:paraId="4BBA132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  <w:p w14:paraId="3C7DE54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D1EFB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E73E2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</w:tr>
      <w:tr w:rsidR="003C1A1F" w:rsidRPr="00431ADA" w14:paraId="15A4DA1A" w14:textId="77777777" w:rsidTr="00B110AF">
        <w:trPr>
          <w:trHeight w:val="91"/>
          <w:jc w:val="center"/>
        </w:trPr>
        <w:tc>
          <w:tcPr>
            <w:tcW w:w="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4674F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3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0222B1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ნივთიერების აღნაგობა</w:t>
            </w:r>
          </w:p>
        </w:tc>
        <w:tc>
          <w:tcPr>
            <w:tcW w:w="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F9968D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11662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14:paraId="4689E41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14:paraId="32FFA64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14:paraId="149B224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14:paraId="1E7DC20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8932A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69F02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1E2F428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161791E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21451D7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738924B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6F5183C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vAlign w:val="center"/>
          </w:tcPr>
          <w:p w14:paraId="253A1FB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DFC45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07CFA8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</w:tr>
      <w:tr w:rsidR="003C1A1F" w:rsidRPr="00431ADA" w14:paraId="1B34AFD5" w14:textId="77777777" w:rsidTr="00B110AF">
        <w:trPr>
          <w:trHeight w:val="137"/>
          <w:jc w:val="center"/>
        </w:trPr>
        <w:tc>
          <w:tcPr>
            <w:tcW w:w="8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4FD9F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2.3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426A5769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კვანტური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A84046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45B66AD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022D706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14:paraId="243EF9E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14:paraId="1F054FB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14:paraId="29CFC63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2F428A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0BC8BED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2F4D7FE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4B3116F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354BBFB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360717E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492D419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vAlign w:val="center"/>
          </w:tcPr>
          <w:p w14:paraId="68398EE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14:paraId="032B057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14:paraId="247E454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</w:tr>
      <w:tr w:rsidR="003C1A1F" w:rsidRPr="00431ADA" w14:paraId="2DE9647D" w14:textId="77777777" w:rsidTr="00215A83">
        <w:trPr>
          <w:trHeight w:val="137"/>
          <w:jc w:val="center"/>
        </w:trPr>
        <w:tc>
          <w:tcPr>
            <w:tcW w:w="8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4A2C3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2.4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B8FD9ED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ბიოლოგიურად აქტიურ ნაერთთა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A85B07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3DB8CDD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75BCC68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14:paraId="661A2A8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14:paraId="14DF2B8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14:paraId="5095BEB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BC3840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36AC9D7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1721BC6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044614B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0F955AA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6FC40FB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4F9B9EC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027BE5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  <w:p w14:paraId="2FBD0AD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  <w:p w14:paraId="02556C5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14:paraId="2229183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14:paraId="1D93106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</w:tr>
      <w:tr w:rsidR="003C1A1F" w:rsidRPr="00431ADA" w14:paraId="7679FB85" w14:textId="77777777" w:rsidTr="00B110AF">
        <w:trPr>
          <w:trHeight w:val="120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C0C8C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2.5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17E465EC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გარემოს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26D58B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5CDB01E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58E59F1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14:paraId="7C140AF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14:paraId="27F5A3F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14:paraId="15A0D6F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662673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181F75E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09FA606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6552231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1B182B7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0948BB2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46411DE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vAlign w:val="center"/>
          </w:tcPr>
          <w:p w14:paraId="4B2563D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7472F92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CE32A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1.2</w:t>
            </w:r>
          </w:p>
        </w:tc>
      </w:tr>
      <w:tr w:rsidR="003C1A1F" w:rsidRPr="00431ADA" w14:paraId="0E2BE260" w14:textId="77777777" w:rsidTr="00B110AF">
        <w:trPr>
          <w:trHeight w:val="422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B308D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2.6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2F66ECC2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მომწამლავ ნივთიერებათა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95A15A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795BA91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4C7409A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14:paraId="1AA2AA5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14:paraId="6D6D128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14:paraId="0C6BF5B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4BD79D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13F9091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53DDE60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02CFA43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72DBB8D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724F927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71B28EC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vAlign w:val="center"/>
          </w:tcPr>
          <w:p w14:paraId="6A1D823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14:paraId="0919BB9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14:paraId="3B3F805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</w:tr>
      <w:tr w:rsidR="003C1A1F" w:rsidRPr="00431ADA" w14:paraId="3A143B15" w14:textId="77777777" w:rsidTr="00B110AF">
        <w:trPr>
          <w:trHeight w:val="136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98430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2.7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204F7E2B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ბიოარაორგანული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A7F451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5A547FD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76B9790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14:paraId="4465E40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14:paraId="13E9C79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14:paraId="0A99FC8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0790A9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4E97933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27F6F7A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4887794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1043F70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1A6797E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133BA87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72BB1A3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Merge w:val="restart"/>
            <w:tcBorders>
              <w:right w:val="double" w:sz="4" w:space="0" w:color="auto"/>
            </w:tcBorders>
            <w:vAlign w:val="center"/>
          </w:tcPr>
          <w:p w14:paraId="0EE8F41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14:paraId="19E9D16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</w:tr>
      <w:tr w:rsidR="003C1A1F" w:rsidRPr="00431ADA" w14:paraId="27621DD7" w14:textId="77777777" w:rsidTr="00B110AF">
        <w:trPr>
          <w:trHeight w:val="119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2B717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2.8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5EACBE17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საყოფაცხოვრებო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056CB9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7F28AC0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565D6D6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14:paraId="593BCE6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14:paraId="666B380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14:paraId="3A50B41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518B60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600B4FA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2CFBAD3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4E30A78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3B98387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59BA22B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54D1996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07F6A14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Merge/>
            <w:tcBorders>
              <w:right w:val="double" w:sz="4" w:space="0" w:color="auto"/>
            </w:tcBorders>
            <w:vAlign w:val="center"/>
          </w:tcPr>
          <w:p w14:paraId="1B9584E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14:paraId="521915B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</w:tr>
      <w:tr w:rsidR="003C1A1F" w:rsidRPr="00431ADA" w14:paraId="7A5981BB" w14:textId="77777777" w:rsidTr="00215A83">
        <w:trPr>
          <w:trHeight w:val="171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1F823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2.9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D37244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მაღალმოლუკულურ ნაერთთა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D35EF7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36EEEF6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07638C8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14:paraId="1111DFE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14:paraId="75C816E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14:paraId="1823A8A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B092D7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1A22D7B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45B9A5D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7E1C5C0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210395D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219756F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45EFBB4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18F0C7E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Merge/>
            <w:tcBorders>
              <w:right w:val="double" w:sz="4" w:space="0" w:color="auto"/>
            </w:tcBorders>
            <w:vAlign w:val="center"/>
          </w:tcPr>
          <w:p w14:paraId="6831770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14:paraId="4CAF40E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</w:tr>
      <w:tr w:rsidR="003C1A1F" w:rsidRPr="00431ADA" w14:paraId="56E31470" w14:textId="77777777" w:rsidTr="00215A83">
        <w:trPr>
          <w:trHeight w:val="332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D2DC6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2.10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5DD319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სამედიცინო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786011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690A3AE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48836C44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14:paraId="74DD423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14:paraId="67415BAB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14:paraId="5166915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6E3088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2ECC07C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64532F1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664352D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3FCEAE4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7700599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6378FAF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3341007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Merge w:val="restart"/>
            <w:tcBorders>
              <w:right w:val="double" w:sz="4" w:space="0" w:color="auto"/>
            </w:tcBorders>
            <w:vAlign w:val="center"/>
          </w:tcPr>
          <w:p w14:paraId="5FBCBA0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14:paraId="6639EA6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</w:tr>
      <w:tr w:rsidR="003C1A1F" w:rsidRPr="00431ADA" w14:paraId="09E732AA" w14:textId="77777777" w:rsidTr="00B110AF">
        <w:trPr>
          <w:trHeight w:val="565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93F96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lastRenderedPageBreak/>
              <w:t>2.11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27D3FA20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ნავთობისა და ბუნებრივი აირების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2F7452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598E275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14:paraId="3D87D4E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14:paraId="1EFF606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14:paraId="4622625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14:paraId="3023F81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EF1DC6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4FA05466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54D29AE7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2E8D858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0649792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4BBA45A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14:paraId="440E179E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14:paraId="6BACD1F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Merge/>
            <w:tcBorders>
              <w:right w:val="double" w:sz="4" w:space="0" w:color="auto"/>
            </w:tcBorders>
            <w:vAlign w:val="center"/>
          </w:tcPr>
          <w:p w14:paraId="60004BE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14:paraId="066C759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</w:tr>
      <w:tr w:rsidR="003C1A1F" w:rsidRPr="00431ADA" w14:paraId="47ABD920" w14:textId="77777777" w:rsidTr="00B110AF">
        <w:trPr>
          <w:trHeight w:val="137"/>
          <w:jc w:val="center"/>
        </w:trPr>
        <w:tc>
          <w:tcPr>
            <w:tcW w:w="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F685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2.12</w:t>
            </w:r>
          </w:p>
        </w:tc>
        <w:tc>
          <w:tcPr>
            <w:tcW w:w="38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A1CCFB" w14:textId="77777777" w:rsidR="003C1A1F" w:rsidRPr="00431ADA" w:rsidRDefault="003C1A1F" w:rsidP="00431AD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პოლიმერული მასალები</w:t>
            </w:r>
          </w:p>
        </w:tc>
        <w:tc>
          <w:tcPr>
            <w:tcW w:w="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41A60D" w14:textId="77777777" w:rsidR="003C1A1F" w:rsidRPr="00431ADA" w:rsidRDefault="003C1A1F" w:rsidP="00431A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48C3E0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14:paraId="63337AD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14:paraId="48FB5E38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14:paraId="6E5A705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14:paraId="1E93DBCC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63EB11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3DA95D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4D974BD9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40458F6F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479C79BA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58F6BDB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0CD82970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5BBA6402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9B9505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B090B3" w14:textId="77777777" w:rsidR="003C1A1F" w:rsidRPr="00431ADA" w:rsidRDefault="003C1A1F" w:rsidP="00431AD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431ADA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</w:tr>
    </w:tbl>
    <w:p w14:paraId="26B58003" w14:textId="77777777" w:rsidR="003C1A1F" w:rsidRPr="00431ADA" w:rsidRDefault="003C1A1F" w:rsidP="00431ADA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lang w:val="ka-GE"/>
        </w:rPr>
      </w:pPr>
    </w:p>
    <w:p w14:paraId="1BFCAF56" w14:textId="77777777" w:rsidR="003C1A1F" w:rsidRPr="00431ADA" w:rsidRDefault="003C1A1F" w:rsidP="00431ADA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</w:pPr>
    </w:p>
    <w:p w14:paraId="47DF2B37" w14:textId="77777777" w:rsidR="003C1A1F" w:rsidRPr="00431ADA" w:rsidRDefault="003C1A1F" w:rsidP="00431ADA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</w:pPr>
    </w:p>
    <w:p w14:paraId="5789C6EE" w14:textId="77777777" w:rsidR="003C1A1F" w:rsidRPr="00431ADA" w:rsidRDefault="003C1A1F" w:rsidP="00431ADA">
      <w:pPr>
        <w:spacing w:after="0" w:line="240" w:lineRule="auto"/>
        <w:jc w:val="right"/>
        <w:rPr>
          <w:rFonts w:ascii="Sylfaen" w:hAnsi="Sylfaen"/>
          <w:b/>
          <w:noProof/>
          <w:color w:val="FF0000"/>
          <w:sz w:val="20"/>
          <w:szCs w:val="20"/>
          <w:lang w:val="ka-GE"/>
        </w:rPr>
      </w:pPr>
    </w:p>
    <w:p w14:paraId="0E9E1C1A" w14:textId="41257A51" w:rsidR="000B12F6" w:rsidRPr="00431ADA" w:rsidRDefault="000B12F6" w:rsidP="00431ADA">
      <w:pPr>
        <w:spacing w:after="0" w:line="240" w:lineRule="auto"/>
        <w:jc w:val="right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</w:p>
    <w:p w14:paraId="62A8D69A" w14:textId="77777777" w:rsidR="000B12F6" w:rsidRPr="00431ADA" w:rsidRDefault="000B12F6" w:rsidP="00431ADA">
      <w:pPr>
        <w:spacing w:after="0" w:line="240" w:lineRule="auto"/>
        <w:jc w:val="right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</w:p>
    <w:p w14:paraId="434095A9" w14:textId="77777777" w:rsidR="00C23530" w:rsidRPr="00431ADA" w:rsidRDefault="00C23530" w:rsidP="00431ADA">
      <w:pPr>
        <w:spacing w:after="0" w:line="240" w:lineRule="auto"/>
        <w:jc w:val="right"/>
        <w:rPr>
          <w:rFonts w:ascii="Sylfaen" w:hAnsi="Sylfaen"/>
          <w:b/>
          <w:noProof/>
          <w:color w:val="FF0000"/>
          <w:sz w:val="20"/>
          <w:szCs w:val="20"/>
          <w:lang w:val="ka-GE"/>
        </w:rPr>
      </w:pPr>
    </w:p>
    <w:sectPr w:rsidR="00C23530" w:rsidRPr="00431ADA" w:rsidSect="00431ADA">
      <w:type w:val="nextColumn"/>
      <w:pgSz w:w="15840" w:h="12240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1D196" w14:textId="77777777" w:rsidR="00B460C4" w:rsidRDefault="00B460C4">
      <w:pPr>
        <w:spacing w:after="0" w:line="240" w:lineRule="auto"/>
      </w:pPr>
      <w:r>
        <w:separator/>
      </w:r>
    </w:p>
  </w:endnote>
  <w:endnote w:type="continuationSeparator" w:id="0">
    <w:p w14:paraId="253F84C1" w14:textId="77777777" w:rsidR="00B460C4" w:rsidRDefault="00B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2946" w14:textId="77777777" w:rsidR="00053376" w:rsidRDefault="0005337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307AB" w14:textId="77777777" w:rsidR="00053376" w:rsidRDefault="00053376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27C45" w14:textId="60D8AFD0" w:rsidR="00053376" w:rsidRDefault="0005337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2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B62ED3" w14:textId="77777777" w:rsidR="00053376" w:rsidRDefault="00053376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E84DC" w14:textId="77777777" w:rsidR="00B460C4" w:rsidRDefault="00B460C4">
      <w:pPr>
        <w:spacing w:after="0" w:line="240" w:lineRule="auto"/>
      </w:pPr>
      <w:r>
        <w:separator/>
      </w:r>
    </w:p>
  </w:footnote>
  <w:footnote w:type="continuationSeparator" w:id="0">
    <w:p w14:paraId="40E9AF2B" w14:textId="77777777" w:rsidR="00B460C4" w:rsidRDefault="00B4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830"/>
    <w:multiLevelType w:val="hybridMultilevel"/>
    <w:tmpl w:val="1954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BB9"/>
    <w:multiLevelType w:val="multilevel"/>
    <w:tmpl w:val="FA2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40D6C"/>
    <w:multiLevelType w:val="multilevel"/>
    <w:tmpl w:val="4F3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5016A"/>
    <w:multiLevelType w:val="multilevel"/>
    <w:tmpl w:val="D11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97E38"/>
    <w:multiLevelType w:val="hybridMultilevel"/>
    <w:tmpl w:val="6018CFC0"/>
    <w:lvl w:ilvl="0" w:tplc="3C30923A">
      <w:start w:val="2021"/>
      <w:numFmt w:val="bullet"/>
      <w:lvlText w:val=""/>
      <w:lvlJc w:val="left"/>
      <w:pPr>
        <w:ind w:left="576" w:hanging="360"/>
      </w:pPr>
      <w:rPr>
        <w:rFonts w:ascii="Symbol" w:eastAsiaTheme="minorHAnsi" w:hAnsi="Symbol" w:cs="Sylfaen" w:hint="default"/>
        <w:color w:val="000000"/>
      </w:rPr>
    </w:lvl>
    <w:lvl w:ilvl="1" w:tplc="0437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1A240AA8"/>
    <w:multiLevelType w:val="hybridMultilevel"/>
    <w:tmpl w:val="DE0E84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B1530D"/>
    <w:multiLevelType w:val="hybridMultilevel"/>
    <w:tmpl w:val="E3D4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7D82"/>
    <w:multiLevelType w:val="multilevel"/>
    <w:tmpl w:val="637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42E1"/>
    <w:multiLevelType w:val="hybridMultilevel"/>
    <w:tmpl w:val="CB82E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A90816"/>
    <w:multiLevelType w:val="multilevel"/>
    <w:tmpl w:val="AA3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35575D"/>
    <w:multiLevelType w:val="multilevel"/>
    <w:tmpl w:val="89EC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2A7BC0"/>
    <w:multiLevelType w:val="multilevel"/>
    <w:tmpl w:val="7BA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673D0C"/>
    <w:multiLevelType w:val="hybridMultilevel"/>
    <w:tmpl w:val="655AAEAC"/>
    <w:lvl w:ilvl="0" w:tplc="10A013A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748C7"/>
    <w:multiLevelType w:val="hybridMultilevel"/>
    <w:tmpl w:val="596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D0EA8"/>
    <w:multiLevelType w:val="multilevel"/>
    <w:tmpl w:val="BD2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  <w:num w:numId="17">
    <w:abstractNumId w:val="15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09CD"/>
    <w:rsid w:val="00004EAF"/>
    <w:rsid w:val="00007D3A"/>
    <w:rsid w:val="0001012C"/>
    <w:rsid w:val="00013848"/>
    <w:rsid w:val="00021465"/>
    <w:rsid w:val="00021ABB"/>
    <w:rsid w:val="0003457E"/>
    <w:rsid w:val="00035AE0"/>
    <w:rsid w:val="00036130"/>
    <w:rsid w:val="0004753D"/>
    <w:rsid w:val="00050ABB"/>
    <w:rsid w:val="00053376"/>
    <w:rsid w:val="0006191C"/>
    <w:rsid w:val="0006253F"/>
    <w:rsid w:val="00065B67"/>
    <w:rsid w:val="0006621D"/>
    <w:rsid w:val="0007549C"/>
    <w:rsid w:val="00077B17"/>
    <w:rsid w:val="00080182"/>
    <w:rsid w:val="000828BB"/>
    <w:rsid w:val="00086E9F"/>
    <w:rsid w:val="00090DFA"/>
    <w:rsid w:val="00092A6F"/>
    <w:rsid w:val="000934C2"/>
    <w:rsid w:val="000A0E00"/>
    <w:rsid w:val="000A3166"/>
    <w:rsid w:val="000A5986"/>
    <w:rsid w:val="000B12F6"/>
    <w:rsid w:val="000B13B3"/>
    <w:rsid w:val="000B1885"/>
    <w:rsid w:val="000B2D53"/>
    <w:rsid w:val="000C1C4D"/>
    <w:rsid w:val="000C2C51"/>
    <w:rsid w:val="000C603F"/>
    <w:rsid w:val="000C7B6E"/>
    <w:rsid w:val="000D1B21"/>
    <w:rsid w:val="000D498D"/>
    <w:rsid w:val="000D762D"/>
    <w:rsid w:val="000E1EC4"/>
    <w:rsid w:val="000E54B0"/>
    <w:rsid w:val="000E746C"/>
    <w:rsid w:val="000F4C2B"/>
    <w:rsid w:val="0010101C"/>
    <w:rsid w:val="00101C5C"/>
    <w:rsid w:val="00102AD6"/>
    <w:rsid w:val="00103FE9"/>
    <w:rsid w:val="001067F6"/>
    <w:rsid w:val="00112EBA"/>
    <w:rsid w:val="00120135"/>
    <w:rsid w:val="00123F2F"/>
    <w:rsid w:val="00125259"/>
    <w:rsid w:val="001259B4"/>
    <w:rsid w:val="001278BA"/>
    <w:rsid w:val="00132AF3"/>
    <w:rsid w:val="00135174"/>
    <w:rsid w:val="001370F8"/>
    <w:rsid w:val="00141C67"/>
    <w:rsid w:val="00144630"/>
    <w:rsid w:val="00145822"/>
    <w:rsid w:val="00145ED2"/>
    <w:rsid w:val="0015259B"/>
    <w:rsid w:val="00152E82"/>
    <w:rsid w:val="0015476C"/>
    <w:rsid w:val="00155B12"/>
    <w:rsid w:val="00157F70"/>
    <w:rsid w:val="0017463F"/>
    <w:rsid w:val="001748AF"/>
    <w:rsid w:val="00175F46"/>
    <w:rsid w:val="00186039"/>
    <w:rsid w:val="00186300"/>
    <w:rsid w:val="001967F7"/>
    <w:rsid w:val="001A3508"/>
    <w:rsid w:val="001B465D"/>
    <w:rsid w:val="001C0E8A"/>
    <w:rsid w:val="001C21F7"/>
    <w:rsid w:val="001C4003"/>
    <w:rsid w:val="001C6FCE"/>
    <w:rsid w:val="001D1558"/>
    <w:rsid w:val="001E0F2E"/>
    <w:rsid w:val="001E3F68"/>
    <w:rsid w:val="00203227"/>
    <w:rsid w:val="002035C4"/>
    <w:rsid w:val="002038BA"/>
    <w:rsid w:val="00203F03"/>
    <w:rsid w:val="00206EB8"/>
    <w:rsid w:val="00213B1A"/>
    <w:rsid w:val="00215A83"/>
    <w:rsid w:val="0022000B"/>
    <w:rsid w:val="002232BE"/>
    <w:rsid w:val="002265F5"/>
    <w:rsid w:val="00230A30"/>
    <w:rsid w:val="0023225E"/>
    <w:rsid w:val="00233D60"/>
    <w:rsid w:val="002357B9"/>
    <w:rsid w:val="00237F10"/>
    <w:rsid w:val="002406A3"/>
    <w:rsid w:val="00245F5A"/>
    <w:rsid w:val="00247222"/>
    <w:rsid w:val="00250E07"/>
    <w:rsid w:val="0026208A"/>
    <w:rsid w:val="00264079"/>
    <w:rsid w:val="00264BAB"/>
    <w:rsid w:val="00273F1B"/>
    <w:rsid w:val="00276054"/>
    <w:rsid w:val="00276E82"/>
    <w:rsid w:val="00286DFC"/>
    <w:rsid w:val="002871B7"/>
    <w:rsid w:val="00287BEB"/>
    <w:rsid w:val="002A1077"/>
    <w:rsid w:val="002A192F"/>
    <w:rsid w:val="002B0DEB"/>
    <w:rsid w:val="002B52CA"/>
    <w:rsid w:val="002C0F48"/>
    <w:rsid w:val="002C3E32"/>
    <w:rsid w:val="002C599F"/>
    <w:rsid w:val="002D0673"/>
    <w:rsid w:val="002D270A"/>
    <w:rsid w:val="002E0F54"/>
    <w:rsid w:val="002E596A"/>
    <w:rsid w:val="002F0CBD"/>
    <w:rsid w:val="002F2406"/>
    <w:rsid w:val="002F312E"/>
    <w:rsid w:val="002F7C85"/>
    <w:rsid w:val="003031C6"/>
    <w:rsid w:val="0030499E"/>
    <w:rsid w:val="00307500"/>
    <w:rsid w:val="003108B5"/>
    <w:rsid w:val="003112A4"/>
    <w:rsid w:val="00313BCE"/>
    <w:rsid w:val="003155F3"/>
    <w:rsid w:val="003158CA"/>
    <w:rsid w:val="0031770C"/>
    <w:rsid w:val="00321F94"/>
    <w:rsid w:val="00322305"/>
    <w:rsid w:val="00324C79"/>
    <w:rsid w:val="00330395"/>
    <w:rsid w:val="00341F8E"/>
    <w:rsid w:val="00343B2A"/>
    <w:rsid w:val="0034424D"/>
    <w:rsid w:val="003450F0"/>
    <w:rsid w:val="00345423"/>
    <w:rsid w:val="003471A2"/>
    <w:rsid w:val="00353DB6"/>
    <w:rsid w:val="0035460A"/>
    <w:rsid w:val="003549AD"/>
    <w:rsid w:val="00356047"/>
    <w:rsid w:val="003612B3"/>
    <w:rsid w:val="00363596"/>
    <w:rsid w:val="00366027"/>
    <w:rsid w:val="003702EC"/>
    <w:rsid w:val="00371A9C"/>
    <w:rsid w:val="003752E8"/>
    <w:rsid w:val="0037782C"/>
    <w:rsid w:val="0038261A"/>
    <w:rsid w:val="00385007"/>
    <w:rsid w:val="0039111F"/>
    <w:rsid w:val="003A0648"/>
    <w:rsid w:val="003A5BBB"/>
    <w:rsid w:val="003A6532"/>
    <w:rsid w:val="003B1912"/>
    <w:rsid w:val="003B1D07"/>
    <w:rsid w:val="003B53E3"/>
    <w:rsid w:val="003B5CA1"/>
    <w:rsid w:val="003B5FF9"/>
    <w:rsid w:val="003B7AEE"/>
    <w:rsid w:val="003C1A1F"/>
    <w:rsid w:val="003E734E"/>
    <w:rsid w:val="003F0BD8"/>
    <w:rsid w:val="003F0F62"/>
    <w:rsid w:val="003F6419"/>
    <w:rsid w:val="003F75A6"/>
    <w:rsid w:val="00400424"/>
    <w:rsid w:val="004005E9"/>
    <w:rsid w:val="004106B7"/>
    <w:rsid w:val="004139D8"/>
    <w:rsid w:val="00415A57"/>
    <w:rsid w:val="00415AC6"/>
    <w:rsid w:val="00417E83"/>
    <w:rsid w:val="004211A1"/>
    <w:rsid w:val="00426007"/>
    <w:rsid w:val="004312D0"/>
    <w:rsid w:val="00431ADA"/>
    <w:rsid w:val="0043206D"/>
    <w:rsid w:val="004333BB"/>
    <w:rsid w:val="00437BE6"/>
    <w:rsid w:val="004438D6"/>
    <w:rsid w:val="00443D19"/>
    <w:rsid w:val="0044464A"/>
    <w:rsid w:val="00445A73"/>
    <w:rsid w:val="00446FD0"/>
    <w:rsid w:val="0044791C"/>
    <w:rsid w:val="00452962"/>
    <w:rsid w:val="004561FF"/>
    <w:rsid w:val="00456F58"/>
    <w:rsid w:val="004602C9"/>
    <w:rsid w:val="00461F48"/>
    <w:rsid w:val="00466452"/>
    <w:rsid w:val="004709D5"/>
    <w:rsid w:val="00472B1E"/>
    <w:rsid w:val="00472DAF"/>
    <w:rsid w:val="004750E0"/>
    <w:rsid w:val="004768F9"/>
    <w:rsid w:val="0048022A"/>
    <w:rsid w:val="004827E7"/>
    <w:rsid w:val="00495474"/>
    <w:rsid w:val="00496B77"/>
    <w:rsid w:val="004A0325"/>
    <w:rsid w:val="004A0E31"/>
    <w:rsid w:val="004A174F"/>
    <w:rsid w:val="004A6CB5"/>
    <w:rsid w:val="004B1E91"/>
    <w:rsid w:val="004B29E9"/>
    <w:rsid w:val="004B4488"/>
    <w:rsid w:val="004D092C"/>
    <w:rsid w:val="004D414B"/>
    <w:rsid w:val="004E00E1"/>
    <w:rsid w:val="004E0D8A"/>
    <w:rsid w:val="004E52BD"/>
    <w:rsid w:val="004E5D80"/>
    <w:rsid w:val="004E6266"/>
    <w:rsid w:val="004E6276"/>
    <w:rsid w:val="004F634B"/>
    <w:rsid w:val="00503F38"/>
    <w:rsid w:val="00510D43"/>
    <w:rsid w:val="00513A93"/>
    <w:rsid w:val="0051672A"/>
    <w:rsid w:val="00517C99"/>
    <w:rsid w:val="0052202E"/>
    <w:rsid w:val="00522957"/>
    <w:rsid w:val="00534C33"/>
    <w:rsid w:val="00535F8D"/>
    <w:rsid w:val="005379FD"/>
    <w:rsid w:val="0054205F"/>
    <w:rsid w:val="0055084E"/>
    <w:rsid w:val="00553A37"/>
    <w:rsid w:val="00561F74"/>
    <w:rsid w:val="00565A66"/>
    <w:rsid w:val="00573116"/>
    <w:rsid w:val="005734B4"/>
    <w:rsid w:val="00577708"/>
    <w:rsid w:val="005803E1"/>
    <w:rsid w:val="005811E4"/>
    <w:rsid w:val="00582328"/>
    <w:rsid w:val="00582C38"/>
    <w:rsid w:val="00586B46"/>
    <w:rsid w:val="005932DC"/>
    <w:rsid w:val="00597741"/>
    <w:rsid w:val="00597FD8"/>
    <w:rsid w:val="005A0A99"/>
    <w:rsid w:val="005A1941"/>
    <w:rsid w:val="005A32A5"/>
    <w:rsid w:val="005A6CAB"/>
    <w:rsid w:val="005A727A"/>
    <w:rsid w:val="005B181A"/>
    <w:rsid w:val="005B19B0"/>
    <w:rsid w:val="005B5116"/>
    <w:rsid w:val="005B60B3"/>
    <w:rsid w:val="005C369D"/>
    <w:rsid w:val="005C7677"/>
    <w:rsid w:val="005D278C"/>
    <w:rsid w:val="005E5CAF"/>
    <w:rsid w:val="005F30FA"/>
    <w:rsid w:val="005F59EF"/>
    <w:rsid w:val="005F6F02"/>
    <w:rsid w:val="005F7BD7"/>
    <w:rsid w:val="0060120E"/>
    <w:rsid w:val="00603CD7"/>
    <w:rsid w:val="006061A0"/>
    <w:rsid w:val="006118E7"/>
    <w:rsid w:val="00625562"/>
    <w:rsid w:val="0064178F"/>
    <w:rsid w:val="00645A43"/>
    <w:rsid w:val="00646022"/>
    <w:rsid w:val="006469B3"/>
    <w:rsid w:val="006520E1"/>
    <w:rsid w:val="006569D8"/>
    <w:rsid w:val="00657560"/>
    <w:rsid w:val="00662534"/>
    <w:rsid w:val="00670F6B"/>
    <w:rsid w:val="00671403"/>
    <w:rsid w:val="0067249C"/>
    <w:rsid w:val="006746EE"/>
    <w:rsid w:val="006777CE"/>
    <w:rsid w:val="00681EF1"/>
    <w:rsid w:val="00683DE4"/>
    <w:rsid w:val="006858BC"/>
    <w:rsid w:val="006870C7"/>
    <w:rsid w:val="00687C40"/>
    <w:rsid w:val="00691E07"/>
    <w:rsid w:val="00693027"/>
    <w:rsid w:val="006A0D75"/>
    <w:rsid w:val="006A4410"/>
    <w:rsid w:val="006A66D4"/>
    <w:rsid w:val="006A6F41"/>
    <w:rsid w:val="006B40A5"/>
    <w:rsid w:val="006B48DB"/>
    <w:rsid w:val="006B5C22"/>
    <w:rsid w:val="006B66B5"/>
    <w:rsid w:val="006B69C5"/>
    <w:rsid w:val="006B6CE6"/>
    <w:rsid w:val="006C4077"/>
    <w:rsid w:val="006C720F"/>
    <w:rsid w:val="006C73F5"/>
    <w:rsid w:val="006D47C5"/>
    <w:rsid w:val="006E65AF"/>
    <w:rsid w:val="006E6A13"/>
    <w:rsid w:val="006F6B60"/>
    <w:rsid w:val="006F7538"/>
    <w:rsid w:val="007004CC"/>
    <w:rsid w:val="00701384"/>
    <w:rsid w:val="00704009"/>
    <w:rsid w:val="00710D17"/>
    <w:rsid w:val="00711C1E"/>
    <w:rsid w:val="007173AB"/>
    <w:rsid w:val="00722746"/>
    <w:rsid w:val="00726EA5"/>
    <w:rsid w:val="00727C45"/>
    <w:rsid w:val="007306F3"/>
    <w:rsid w:val="00731C82"/>
    <w:rsid w:val="007326FF"/>
    <w:rsid w:val="00753EEE"/>
    <w:rsid w:val="007575E8"/>
    <w:rsid w:val="00761756"/>
    <w:rsid w:val="007617F5"/>
    <w:rsid w:val="00761D47"/>
    <w:rsid w:val="00762756"/>
    <w:rsid w:val="00770E81"/>
    <w:rsid w:val="00775A36"/>
    <w:rsid w:val="00775F6B"/>
    <w:rsid w:val="0077731C"/>
    <w:rsid w:val="00783DD6"/>
    <w:rsid w:val="00786665"/>
    <w:rsid w:val="00786C85"/>
    <w:rsid w:val="00792D39"/>
    <w:rsid w:val="00794879"/>
    <w:rsid w:val="007A489B"/>
    <w:rsid w:val="007A67AA"/>
    <w:rsid w:val="007B0C98"/>
    <w:rsid w:val="007B5847"/>
    <w:rsid w:val="007C45FC"/>
    <w:rsid w:val="007D0289"/>
    <w:rsid w:val="007D257B"/>
    <w:rsid w:val="007D593C"/>
    <w:rsid w:val="007E42D2"/>
    <w:rsid w:val="007E4BC2"/>
    <w:rsid w:val="007E75CE"/>
    <w:rsid w:val="007F2653"/>
    <w:rsid w:val="007F36EB"/>
    <w:rsid w:val="007F3FBD"/>
    <w:rsid w:val="00801439"/>
    <w:rsid w:val="00804378"/>
    <w:rsid w:val="0080783E"/>
    <w:rsid w:val="00811863"/>
    <w:rsid w:val="008130FE"/>
    <w:rsid w:val="008218C5"/>
    <w:rsid w:val="00826D2D"/>
    <w:rsid w:val="00840E4B"/>
    <w:rsid w:val="008455E7"/>
    <w:rsid w:val="0084706E"/>
    <w:rsid w:val="0085214B"/>
    <w:rsid w:val="008557D6"/>
    <w:rsid w:val="00863AE2"/>
    <w:rsid w:val="0086633E"/>
    <w:rsid w:val="00870E22"/>
    <w:rsid w:val="00870ECA"/>
    <w:rsid w:val="00872514"/>
    <w:rsid w:val="00874447"/>
    <w:rsid w:val="00874D65"/>
    <w:rsid w:val="0087634F"/>
    <w:rsid w:val="00876DD4"/>
    <w:rsid w:val="00882020"/>
    <w:rsid w:val="00884004"/>
    <w:rsid w:val="008A5DF2"/>
    <w:rsid w:val="008A693D"/>
    <w:rsid w:val="008A7BBE"/>
    <w:rsid w:val="008B2DF9"/>
    <w:rsid w:val="008B2EDF"/>
    <w:rsid w:val="008B649D"/>
    <w:rsid w:val="008B7F92"/>
    <w:rsid w:val="008C34B2"/>
    <w:rsid w:val="008C6E83"/>
    <w:rsid w:val="008C6F49"/>
    <w:rsid w:val="008C7B95"/>
    <w:rsid w:val="008D0F41"/>
    <w:rsid w:val="008D6C90"/>
    <w:rsid w:val="008E0B6B"/>
    <w:rsid w:val="008E5D48"/>
    <w:rsid w:val="008E6B4A"/>
    <w:rsid w:val="008E76A2"/>
    <w:rsid w:val="008F29A1"/>
    <w:rsid w:val="008F34BE"/>
    <w:rsid w:val="008F4686"/>
    <w:rsid w:val="00902C83"/>
    <w:rsid w:val="00903CC0"/>
    <w:rsid w:val="00905F43"/>
    <w:rsid w:val="00910FF7"/>
    <w:rsid w:val="00911B57"/>
    <w:rsid w:val="00912083"/>
    <w:rsid w:val="009170F5"/>
    <w:rsid w:val="00920E56"/>
    <w:rsid w:val="00921BF9"/>
    <w:rsid w:val="0092489B"/>
    <w:rsid w:val="00924C24"/>
    <w:rsid w:val="00925E83"/>
    <w:rsid w:val="009272D5"/>
    <w:rsid w:val="009277F4"/>
    <w:rsid w:val="00930527"/>
    <w:rsid w:val="00932D2C"/>
    <w:rsid w:val="00935093"/>
    <w:rsid w:val="0093562C"/>
    <w:rsid w:val="00941FA0"/>
    <w:rsid w:val="009424DB"/>
    <w:rsid w:val="00944115"/>
    <w:rsid w:val="00951D9F"/>
    <w:rsid w:val="00952E74"/>
    <w:rsid w:val="009536F4"/>
    <w:rsid w:val="0095380D"/>
    <w:rsid w:val="00957C29"/>
    <w:rsid w:val="00960205"/>
    <w:rsid w:val="00962130"/>
    <w:rsid w:val="009626B6"/>
    <w:rsid w:val="00970156"/>
    <w:rsid w:val="00970177"/>
    <w:rsid w:val="009708AA"/>
    <w:rsid w:val="00976EC3"/>
    <w:rsid w:val="009915D0"/>
    <w:rsid w:val="0099407D"/>
    <w:rsid w:val="00994781"/>
    <w:rsid w:val="00994967"/>
    <w:rsid w:val="009962B0"/>
    <w:rsid w:val="009972DF"/>
    <w:rsid w:val="009A0C84"/>
    <w:rsid w:val="009A237C"/>
    <w:rsid w:val="009A3B1F"/>
    <w:rsid w:val="009A72BB"/>
    <w:rsid w:val="009B4A14"/>
    <w:rsid w:val="009C058B"/>
    <w:rsid w:val="009C0929"/>
    <w:rsid w:val="009C14D2"/>
    <w:rsid w:val="009C6ECB"/>
    <w:rsid w:val="009C7126"/>
    <w:rsid w:val="009D2E9D"/>
    <w:rsid w:val="009D7832"/>
    <w:rsid w:val="009E2795"/>
    <w:rsid w:val="009E4322"/>
    <w:rsid w:val="009E4BF5"/>
    <w:rsid w:val="009F7B31"/>
    <w:rsid w:val="00A001D3"/>
    <w:rsid w:val="00A00FEA"/>
    <w:rsid w:val="00A02FEA"/>
    <w:rsid w:val="00A0621B"/>
    <w:rsid w:val="00A069AA"/>
    <w:rsid w:val="00A06CE6"/>
    <w:rsid w:val="00A12678"/>
    <w:rsid w:val="00A14010"/>
    <w:rsid w:val="00A1658F"/>
    <w:rsid w:val="00A208C3"/>
    <w:rsid w:val="00A20A73"/>
    <w:rsid w:val="00A255CC"/>
    <w:rsid w:val="00A268F9"/>
    <w:rsid w:val="00A33B27"/>
    <w:rsid w:val="00A3421A"/>
    <w:rsid w:val="00A348EA"/>
    <w:rsid w:val="00A36A4E"/>
    <w:rsid w:val="00A378BB"/>
    <w:rsid w:val="00A37E5A"/>
    <w:rsid w:val="00A464AB"/>
    <w:rsid w:val="00A466B2"/>
    <w:rsid w:val="00A50546"/>
    <w:rsid w:val="00A53971"/>
    <w:rsid w:val="00A55DD7"/>
    <w:rsid w:val="00A56A10"/>
    <w:rsid w:val="00A576F3"/>
    <w:rsid w:val="00A57703"/>
    <w:rsid w:val="00A633F4"/>
    <w:rsid w:val="00A64BBA"/>
    <w:rsid w:val="00A6573C"/>
    <w:rsid w:val="00A7104C"/>
    <w:rsid w:val="00A734BE"/>
    <w:rsid w:val="00A76B38"/>
    <w:rsid w:val="00A83B87"/>
    <w:rsid w:val="00A876B7"/>
    <w:rsid w:val="00AB1A46"/>
    <w:rsid w:val="00AB502F"/>
    <w:rsid w:val="00AC0171"/>
    <w:rsid w:val="00AC67AF"/>
    <w:rsid w:val="00AD030E"/>
    <w:rsid w:val="00AD0632"/>
    <w:rsid w:val="00AD16FC"/>
    <w:rsid w:val="00AD7923"/>
    <w:rsid w:val="00AE0524"/>
    <w:rsid w:val="00AE4069"/>
    <w:rsid w:val="00AF05DC"/>
    <w:rsid w:val="00B01157"/>
    <w:rsid w:val="00B02236"/>
    <w:rsid w:val="00B03F29"/>
    <w:rsid w:val="00B05C10"/>
    <w:rsid w:val="00B06C22"/>
    <w:rsid w:val="00B11597"/>
    <w:rsid w:val="00B12A85"/>
    <w:rsid w:val="00B16AE0"/>
    <w:rsid w:val="00B2525E"/>
    <w:rsid w:val="00B25B59"/>
    <w:rsid w:val="00B2793E"/>
    <w:rsid w:val="00B40006"/>
    <w:rsid w:val="00B41F3E"/>
    <w:rsid w:val="00B42381"/>
    <w:rsid w:val="00B45439"/>
    <w:rsid w:val="00B460C4"/>
    <w:rsid w:val="00B46FBB"/>
    <w:rsid w:val="00B47C01"/>
    <w:rsid w:val="00B50380"/>
    <w:rsid w:val="00B517E5"/>
    <w:rsid w:val="00B53D5B"/>
    <w:rsid w:val="00B5452C"/>
    <w:rsid w:val="00B5576B"/>
    <w:rsid w:val="00B57227"/>
    <w:rsid w:val="00B61E47"/>
    <w:rsid w:val="00B62C91"/>
    <w:rsid w:val="00B63C04"/>
    <w:rsid w:val="00B647B9"/>
    <w:rsid w:val="00B66018"/>
    <w:rsid w:val="00B6669E"/>
    <w:rsid w:val="00B67516"/>
    <w:rsid w:val="00B67552"/>
    <w:rsid w:val="00B70D27"/>
    <w:rsid w:val="00B70EBC"/>
    <w:rsid w:val="00B72674"/>
    <w:rsid w:val="00B74630"/>
    <w:rsid w:val="00B77109"/>
    <w:rsid w:val="00B807F5"/>
    <w:rsid w:val="00B80E7E"/>
    <w:rsid w:val="00B830F9"/>
    <w:rsid w:val="00B92783"/>
    <w:rsid w:val="00BA7C58"/>
    <w:rsid w:val="00BB24F7"/>
    <w:rsid w:val="00BC0518"/>
    <w:rsid w:val="00BC08B9"/>
    <w:rsid w:val="00BC08E6"/>
    <w:rsid w:val="00BC414E"/>
    <w:rsid w:val="00BC43E9"/>
    <w:rsid w:val="00BC4AF7"/>
    <w:rsid w:val="00BC60F9"/>
    <w:rsid w:val="00BD3310"/>
    <w:rsid w:val="00BE1BCD"/>
    <w:rsid w:val="00BE4634"/>
    <w:rsid w:val="00BE5632"/>
    <w:rsid w:val="00BE5ACF"/>
    <w:rsid w:val="00BE6A3E"/>
    <w:rsid w:val="00BF1513"/>
    <w:rsid w:val="00BF512B"/>
    <w:rsid w:val="00C00388"/>
    <w:rsid w:val="00C032AE"/>
    <w:rsid w:val="00C06A67"/>
    <w:rsid w:val="00C22B94"/>
    <w:rsid w:val="00C23530"/>
    <w:rsid w:val="00C24600"/>
    <w:rsid w:val="00C307BD"/>
    <w:rsid w:val="00C31459"/>
    <w:rsid w:val="00C32180"/>
    <w:rsid w:val="00C37182"/>
    <w:rsid w:val="00C40503"/>
    <w:rsid w:val="00C41A1F"/>
    <w:rsid w:val="00C4270A"/>
    <w:rsid w:val="00C50956"/>
    <w:rsid w:val="00C51402"/>
    <w:rsid w:val="00C52CF9"/>
    <w:rsid w:val="00C575B9"/>
    <w:rsid w:val="00C61E11"/>
    <w:rsid w:val="00C63D1B"/>
    <w:rsid w:val="00C6702C"/>
    <w:rsid w:val="00C67F7A"/>
    <w:rsid w:val="00C700A9"/>
    <w:rsid w:val="00C70D5C"/>
    <w:rsid w:val="00C7197F"/>
    <w:rsid w:val="00C72A59"/>
    <w:rsid w:val="00C7305F"/>
    <w:rsid w:val="00C772B9"/>
    <w:rsid w:val="00C80D47"/>
    <w:rsid w:val="00C8722A"/>
    <w:rsid w:val="00C87E9B"/>
    <w:rsid w:val="00C91AA0"/>
    <w:rsid w:val="00C955DF"/>
    <w:rsid w:val="00C975C0"/>
    <w:rsid w:val="00CA0EEC"/>
    <w:rsid w:val="00CA55FB"/>
    <w:rsid w:val="00CB5603"/>
    <w:rsid w:val="00CC1092"/>
    <w:rsid w:val="00CD37DB"/>
    <w:rsid w:val="00CD6B8D"/>
    <w:rsid w:val="00CE3B62"/>
    <w:rsid w:val="00CE5449"/>
    <w:rsid w:val="00CF6DF9"/>
    <w:rsid w:val="00CF78AC"/>
    <w:rsid w:val="00D004AF"/>
    <w:rsid w:val="00D019AA"/>
    <w:rsid w:val="00D04F78"/>
    <w:rsid w:val="00D11BF0"/>
    <w:rsid w:val="00D14DE6"/>
    <w:rsid w:val="00D17AF5"/>
    <w:rsid w:val="00D20445"/>
    <w:rsid w:val="00D218BA"/>
    <w:rsid w:val="00D2481E"/>
    <w:rsid w:val="00D319A3"/>
    <w:rsid w:val="00D31F21"/>
    <w:rsid w:val="00D32279"/>
    <w:rsid w:val="00D32563"/>
    <w:rsid w:val="00D42927"/>
    <w:rsid w:val="00D42DA3"/>
    <w:rsid w:val="00D460B2"/>
    <w:rsid w:val="00D50A37"/>
    <w:rsid w:val="00D547AA"/>
    <w:rsid w:val="00D575FF"/>
    <w:rsid w:val="00D70DD4"/>
    <w:rsid w:val="00D7260D"/>
    <w:rsid w:val="00D8598D"/>
    <w:rsid w:val="00D8614A"/>
    <w:rsid w:val="00D92EC9"/>
    <w:rsid w:val="00D93134"/>
    <w:rsid w:val="00D962E8"/>
    <w:rsid w:val="00DA0BCC"/>
    <w:rsid w:val="00DA4F5F"/>
    <w:rsid w:val="00DA5E66"/>
    <w:rsid w:val="00DA6A6F"/>
    <w:rsid w:val="00DA7800"/>
    <w:rsid w:val="00DB437C"/>
    <w:rsid w:val="00DB5E28"/>
    <w:rsid w:val="00DC6112"/>
    <w:rsid w:val="00DD3ECE"/>
    <w:rsid w:val="00DD78FD"/>
    <w:rsid w:val="00DE0F0D"/>
    <w:rsid w:val="00DE34D0"/>
    <w:rsid w:val="00DE3BB8"/>
    <w:rsid w:val="00DE43F5"/>
    <w:rsid w:val="00DF0912"/>
    <w:rsid w:val="00DF0D61"/>
    <w:rsid w:val="00E01EBA"/>
    <w:rsid w:val="00E03EC8"/>
    <w:rsid w:val="00E06F12"/>
    <w:rsid w:val="00E1492B"/>
    <w:rsid w:val="00E16BE2"/>
    <w:rsid w:val="00E22266"/>
    <w:rsid w:val="00E22B04"/>
    <w:rsid w:val="00E23011"/>
    <w:rsid w:val="00E24C79"/>
    <w:rsid w:val="00E374BB"/>
    <w:rsid w:val="00E4488A"/>
    <w:rsid w:val="00E50F30"/>
    <w:rsid w:val="00E513D5"/>
    <w:rsid w:val="00E51910"/>
    <w:rsid w:val="00E55E8C"/>
    <w:rsid w:val="00E60755"/>
    <w:rsid w:val="00E60BCF"/>
    <w:rsid w:val="00E63F79"/>
    <w:rsid w:val="00E6603E"/>
    <w:rsid w:val="00E7673F"/>
    <w:rsid w:val="00E81F58"/>
    <w:rsid w:val="00E86351"/>
    <w:rsid w:val="00E94FDF"/>
    <w:rsid w:val="00E950E2"/>
    <w:rsid w:val="00EA6D3A"/>
    <w:rsid w:val="00EB0D84"/>
    <w:rsid w:val="00EB1032"/>
    <w:rsid w:val="00EB6055"/>
    <w:rsid w:val="00EC3C58"/>
    <w:rsid w:val="00ED05BD"/>
    <w:rsid w:val="00ED2D3B"/>
    <w:rsid w:val="00ED56F7"/>
    <w:rsid w:val="00ED6282"/>
    <w:rsid w:val="00EE09CC"/>
    <w:rsid w:val="00EF0802"/>
    <w:rsid w:val="00EF353B"/>
    <w:rsid w:val="00F02038"/>
    <w:rsid w:val="00F12D10"/>
    <w:rsid w:val="00F14D07"/>
    <w:rsid w:val="00F16D96"/>
    <w:rsid w:val="00F32BE2"/>
    <w:rsid w:val="00F375CF"/>
    <w:rsid w:val="00F37A8F"/>
    <w:rsid w:val="00F416FE"/>
    <w:rsid w:val="00F518CC"/>
    <w:rsid w:val="00F51969"/>
    <w:rsid w:val="00F56937"/>
    <w:rsid w:val="00F57E82"/>
    <w:rsid w:val="00F60138"/>
    <w:rsid w:val="00F60690"/>
    <w:rsid w:val="00F60DB1"/>
    <w:rsid w:val="00F60DCF"/>
    <w:rsid w:val="00F7012F"/>
    <w:rsid w:val="00F71ACE"/>
    <w:rsid w:val="00F76446"/>
    <w:rsid w:val="00F7696C"/>
    <w:rsid w:val="00F80652"/>
    <w:rsid w:val="00F8177D"/>
    <w:rsid w:val="00F81C5E"/>
    <w:rsid w:val="00F81DAF"/>
    <w:rsid w:val="00F84CFD"/>
    <w:rsid w:val="00F84DAC"/>
    <w:rsid w:val="00F86850"/>
    <w:rsid w:val="00F97C85"/>
    <w:rsid w:val="00FA0878"/>
    <w:rsid w:val="00FA3471"/>
    <w:rsid w:val="00FA4B5C"/>
    <w:rsid w:val="00FA6B76"/>
    <w:rsid w:val="00FA7E5D"/>
    <w:rsid w:val="00FB2C62"/>
    <w:rsid w:val="00FB43C6"/>
    <w:rsid w:val="00FB4AA5"/>
    <w:rsid w:val="00FC201D"/>
    <w:rsid w:val="00FC5EDB"/>
    <w:rsid w:val="00FD1B25"/>
    <w:rsid w:val="00FD26F8"/>
    <w:rsid w:val="00FD430A"/>
    <w:rsid w:val="00FD6784"/>
    <w:rsid w:val="00FE1034"/>
    <w:rsid w:val="00FE3B1D"/>
    <w:rsid w:val="00FF20C3"/>
    <w:rsid w:val="00FF478B"/>
    <w:rsid w:val="00FF5A96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36BC"/>
  <w15:docId w15:val="{B856A965-D735-4489-8423-D2952AEF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customStyle="1" w:styleId="ListParagraphChar">
    <w:name w:val="List Paragraph Char"/>
    <w:basedOn w:val="DefaultParagraphFont"/>
    <w:link w:val="ListParagraph"/>
    <w:uiPriority w:val="34"/>
    <w:rsid w:val="000A5986"/>
  </w:style>
  <w:style w:type="paragraph" w:customStyle="1" w:styleId="paragraph">
    <w:name w:val="paragraph"/>
    <w:basedOn w:val="Normal"/>
    <w:rsid w:val="00AD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0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B626-784A-4E79-903F-50B84031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Mac</cp:lastModifiedBy>
  <cp:revision>208</cp:revision>
  <cp:lastPrinted>2020-05-06T18:28:00Z</cp:lastPrinted>
  <dcterms:created xsi:type="dcterms:W3CDTF">2015-11-13T06:48:00Z</dcterms:created>
  <dcterms:modified xsi:type="dcterms:W3CDTF">2022-10-29T22:04:00Z</dcterms:modified>
</cp:coreProperties>
</file>